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8589c76e72a0fe1786fde85207266efd59bbf"/>
      <w:r>
        <w:rPr>
          <w:b/>
        </w:rPr>
        <w:t xml:space="preserve">ПРОТОКОЛ ПРО РЕЗУЛЬТАТИ ЗЕМЕЛЬНИХ ТОРГІВ № LRE001-UA-20240328-75811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 площею 2,4340 га (кадастровий номер 7323086300:02:006:0213) за межами с. Рідківці Магальської сільської ради Чернівецького р-ну Чернівецької обл.</w:t>
      </w:r>
    </w:p>
    <w:p>
      <w:pPr>
        <w:numPr>
          <w:ilvl w:val="0"/>
          <w:numId w:val="1001"/>
        </w:numPr>
        <w:pStyle w:val="Compact"/>
      </w:pPr>
      <w:r>
        <w:t xml:space="preserve">Оренда (строком на 10 років) земельної ділянки комунальної власності сільськогосподарського призначення площею 2,4340 га (кадастровий номер 7323086300:02:006:0213) для ведення товарного сільськогосподарського виробництва за межами с. Рідківці Магальської сільської ради Чернівецького р-ну Чернівецької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3 516,65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5 055,00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1 054,99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Кобрак Тодер Михайлович, ІПН/РНОКПП: 2612614791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Саінчук Степан Степанович, ІПН/РНОКПП: 3434514095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4 981,92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16:12:01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Саінчук Степан Степанович, ІПН/РНОКПП: 3434514095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252,75 грн (двісті п'ятдесят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802,24 грн (вісімсот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4 252,76 грн (чотири тисячі двісті п'ятдесят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UA728999980334159812000024349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UA178999980334169815000024349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UA298999980314010544000024349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Саінчук Степан Степанович, ІПН/РНОКПП: 3434514095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2024-05-20T03:54:22Z</dcterms:created>
  <dcterms:modified xsi:type="dcterms:W3CDTF">2024-05-20T03:54:22Z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