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6726a6069a7dedacf125465a0195a1fb66a9e4"/>
      <w:r>
        <w:rPr>
          <w:b/>
        </w:rPr>
        <w:t xml:space="preserve">ПРОТОКОЛ ПРО РЕЗУЛЬТАТИ ЗЕМЕЛЬНИХ ТОРГІВ № LRE001-UA-20240327-25874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Рівненська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(річна орендна плата) земельної ділянки сільськогосподарського призначення, площею 1.8000 га кадастровий номер : 0723385900:05:003:0055</w:t>
      </w:r>
    </w:p>
    <w:p>
      <w:pPr>
        <w:numPr>
          <w:ilvl w:val="0"/>
          <w:numId w:val="1001"/>
        </w:numPr>
        <w:pStyle w:val="Compact"/>
      </w:pPr>
      <w:r>
        <w:t xml:space="preserve">Право оренди (річна орендна плата) земельної ділянки сільськогосподарського призначення, площею 1,8000 га кадастровий номер : 0723385900:05:003:0055, що розташована на території Рівненської сільської ради , Ковельського району , Волинської області, категорія земель – землі сільськогосподарського призначення, вид цільового призначення – для ведення товарного сільськогосподарського виробництва 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4 091,82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4 250,00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40,92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1 227,55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Пишук Олександр Іванович, ІПН/РНОКПП: 3135317570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Панчук Сергій Володимирович, ІПН/РНОКПП: 3149727591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Панчук Сергій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4 091,82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17:09:29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Пишук Олександр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4 091,82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10:09:49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Панчук Сергій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4 133,00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12:16:41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Пишук Олександр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4 150,00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12:18:34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Панчук Сергій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4 175,00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12:24:22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Пишук Олександр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4 195,00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12:27:39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Панчук Сергій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4 220,00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12:33:32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Пишук Олександр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4 250,00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12:36:35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Пишук Олександр Іванович, ІПН/РНОКПП: 3135317570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212,50 грн (двісті дванадцять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1 015,05 грн (одна тисяча п'ятнадцять гривень 05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3 234,95 грн (три тисячі двісті тридцять чотири гривні 95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Волин.обл/с.Рівне/18010600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UA928999980334159812000003522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38009371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Волин.обл/с.Рівне 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UA928999980334159812000003522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38009371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ФОП Кортоус В.М.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3231715754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UA223052990000026003030801086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14360570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305299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Пишук Олександр Іванович, ІПН/РНОКПП: 3135317570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Рівненська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2024-05-19T12:03:33Z</dcterms:created>
  <dcterms:modified xsi:type="dcterms:W3CDTF">2024-05-19T12:03:33Z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