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a70a208d363528dfb5ef099c5f611bfba995fb"/>
      <w:r>
        <w:rPr>
          <w:b/>
        </w:rPr>
        <w:t xml:space="preserve">ПРОТОКОЛ ПРО РЕЗУЛЬТАТИ ЗЕМЕЛЬНИХ ТОРГІВ № LRE001-UA-20240325-34571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"Ю.БІЗ"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"УКРАЇНСЬКА ЕНЕРГЕТИЧНА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"Українська Універсальна Біржа"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КАЛИТЯНСЬКА СЕЛИЩНА РАДА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25.04.2024 11:20:00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25.04.2024 11:49:04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Електронні земельні торги аукціон з продажу права оренди земельної ділянки комунальної власності за межами населеного пункту с. Заворичі на території Калитянської селищної ради, Броварського району Київської області, площею 6,9503 га. кадастровий номер 3221282400:07:001:0002</w:t>
      </w:r>
    </w:p>
    <w:p>
      <w:pPr>
        <w:numPr>
          <w:ilvl w:val="0"/>
          <w:numId w:val="1001"/>
        </w:numPr>
        <w:pStyle w:val="Compact"/>
      </w:pPr>
      <w:r>
        <w:t xml:space="preserve">Електронні земельні торги аукціон з продажу права оренди земельної ділянки комунальної власності за межами населеного пункту с. Заворичі на території Калитянської селищної ради, Броварського району Київської області, площею 6,9503 га. кадастровий номер 3221282400:07:001:0002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25 377,94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31 276,35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253,78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7 613,38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"БРОВ МІТ АГРО", ЄДРПОУ: 43407189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"ВЕЛГЕС" , ЄДРПОУ: 35125226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19:01:50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31 276,35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16:52:40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19:01:50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31 276,35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16:52:40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19:01:50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31 276,35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16:52:40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"БРОВ МІТ АГРО"</w:t>
            </w:r>
          </w:p>
        </w:tc>
        <w:tc>
          <w:p>
            <w:pPr>
              <w:pStyle w:val="Compact"/>
              <w:jc w:val="left"/>
            </w:pPr>
            <w:r>
              <w:t xml:space="preserve">27 000,00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19:01:50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"ВЕЛГЕС"</w:t>
            </w:r>
          </w:p>
        </w:tc>
        <w:tc>
          <w:p>
            <w:pPr>
              <w:pStyle w:val="Compact"/>
              <w:jc w:val="left"/>
            </w:pPr>
            <w:r>
              <w:t xml:space="preserve">31 276,35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16:52:40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"ВЕЛГЕС" , ЄДРПОУ: 35125226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1 563,82 грн (одна тисяча п'ятсот шістдесят три гривні 82 копійки)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6 049,56 грн (шість тисяч сорок дев'ять гривень 56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25 226,79 грн (двадцять п'ять тисяч двісті двадцять шість гривень 79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Калитянська селищна ТГ ГУК у Київ.обл/Калитянська сел/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04363811</w:t>
      </w:r>
    </w:p>
    <w:p>
      <w:pPr>
        <w:numPr>
          <w:ilvl w:val="0"/>
          <w:numId w:val="1003"/>
        </w:numPr>
        <w:pStyle w:val="Compact"/>
      </w:pPr>
      <w:r>
        <w:t xml:space="preserve">Назва банку: Казначейство України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UA558999980334199812000010724</w:t>
      </w:r>
    </w:p>
    <w:p>
      <w:pPr>
        <w:numPr>
          <w:ilvl w:val="0"/>
          <w:numId w:val="1003"/>
        </w:numPr>
        <w:pStyle w:val="Compact"/>
      </w:pPr>
      <w:r>
        <w:t xml:space="preserve">ЄДРПОУ банку:</w:t>
      </w:r>
      <w:r>
        <w:t xml:space="preserve"> </w:t>
      </w:r>
      <w:r>
        <w:t xml:space="preserve">37955989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7 500,00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</w:p>
    <w:p>
      <w:pPr>
        <w:numPr>
          <w:ilvl w:val="0"/>
          <w:numId w:val="1004"/>
        </w:numPr>
        <w:pStyle w:val="Compact"/>
      </w:pPr>
      <w:r>
        <w:t xml:space="preserve">Одержувач: ТОВ «ЛЕНДСЕРВІС»</w:t>
      </w:r>
    </w:p>
    <w:p>
      <w:pPr>
        <w:numPr>
          <w:ilvl w:val="0"/>
          <w:numId w:val="1004"/>
        </w:numPr>
        <w:pStyle w:val="Compact"/>
      </w:pPr>
      <w:r>
        <w:t xml:space="preserve">Код ЄДРПОУ або ІПН або паспорт: 35876146</w:t>
      </w:r>
    </w:p>
    <w:p>
      <w:pPr>
        <w:numPr>
          <w:ilvl w:val="0"/>
          <w:numId w:val="1004"/>
        </w:numPr>
        <w:pStyle w:val="Compact"/>
      </w:pPr>
      <w:r>
        <w:t xml:space="preserve">Назва банку: АТ «УкрСиббанк»</w:t>
      </w:r>
    </w:p>
    <w:p>
      <w:pPr>
        <w:numPr>
          <w:ilvl w:val="0"/>
          <w:numId w:val="1004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UA983510050000026008577488800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25.04.2024 11:49:04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"ВЕЛГЕС" , ЄДРПОУ: 35125226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КАЛИТЯНСЬКА СЕЛИЩНА РАДА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2024-05-19T06:36:45Z</dcterms:created>
  <dcterms:modified xsi:type="dcterms:W3CDTF">2024-05-19T06:36:45Z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