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ad0e51b28be5a4f46b28c065b685e0ad67393c"/>
      <w:r>
        <w:rPr>
          <w:b/>
        </w:rPr>
        <w:t xml:space="preserve">ПРОТОКОЛ ПРО РЕЗУЛЬТАТИ ЗЕМЕЛЬНИХ ТОРГІВ № LRE001-UA-20240306-23508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ПМРХО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09.04.2024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09.04.2024 13:19:04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, площею 0,1000 га , кадастровий номер 6311500000:06:001:0393 , що розташована: вул. Польова, м. Первомайський Харківської області, категорія земель – землі житлової та громадської забудови, цільове призначення – для будівництва та обслуговування будівель торгівлі (03.07).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комунальної власності , площею 0,1000 га , кадастровий номер 6311500000:06:001:0393 , що розташована: вул. Польова, м. Первомайський Харківської області, категорія земель – землі житлової та громадської забудови, цільове призначення – для будівництва та обслуговування будівель торгівлі (03.07).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33 593,12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35 200,00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335,93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10 077,94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"ОРЕКС ДІСТРІБЬЮШЕН", ЄДРПОУ: 41455069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Ждань Вячеслав Михайлович, ІПН/РНОКПП: 2893914591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Ждань Вячеслав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33 593,13 грн</w:t>
            </w:r>
          </w:p>
        </w:tc>
        <w:tc>
          <w:p>
            <w:pPr>
              <w:pStyle w:val="Compact"/>
              <w:jc w:val="left"/>
            </w:pPr>
            <w:r>
              <w:t xml:space="preserve">08.04.2024 15:50:30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"ОРЕКС ДІСТРІБЬЮШЕН"</w:t>
            </w:r>
          </w:p>
        </w:tc>
        <w:tc>
          <w:p>
            <w:pPr>
              <w:pStyle w:val="Compact"/>
              <w:jc w:val="left"/>
            </w:pPr>
            <w:r>
              <w:t xml:space="preserve">33 593,13 грн</w:t>
            </w:r>
          </w:p>
        </w:tc>
        <w:tc>
          <w:p>
            <w:pPr>
              <w:pStyle w:val="Compact"/>
              <w:jc w:val="left"/>
            </w:pPr>
            <w:r>
              <w:t xml:space="preserve">01.04.2024 17:08:05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Ждань Вячеслав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33 930,00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12:56:12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"ОРЕКС ДІСТРІБЬЮШЕН"</w:t>
            </w:r>
          </w:p>
        </w:tc>
        <w:tc>
          <w:p>
            <w:pPr>
              <w:pStyle w:val="Compact"/>
              <w:jc w:val="left"/>
            </w:pPr>
            <w:r>
              <w:t xml:space="preserve">34 200,00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12:58:16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Ждань Вячеслав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34 550,00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13:04:20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"ОРЕКС ДІСТРІБЬЮШЕН"</w:t>
            </w:r>
          </w:p>
        </w:tc>
        <w:tc>
          <w:p>
            <w:pPr>
              <w:pStyle w:val="Compact"/>
              <w:jc w:val="left"/>
            </w:pPr>
            <w:r>
              <w:t xml:space="preserve">34 850,00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13:08:08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Ждань Вячеслав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35 200,00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13:13:23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"ОРЕКС ДІСТРІБЬЮШЕН"</w:t>
            </w:r>
          </w:p>
        </w:tc>
        <w:tc>
          <w:p>
            <w:pPr>
              <w:pStyle w:val="Compact"/>
              <w:jc w:val="left"/>
            </w:pPr>
            <w:r>
              <w:t xml:space="preserve">34 850,00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13:08:08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Ждань Вячеслав Михайлович, ІПН/РНОКПП: 2893914591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1 760,00 грн (одна тисяча сімсот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8 317,94 грн (вісім тисяч триста сімнадцять гривень 94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26 882,06 грн (двадцять шість тисяч вісімсот вісімдесят дві гривні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Харків обл/МТГ Первомай/18010900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UA448999980334179815000020647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Харків обл/МТГ Первомай/18010600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UA028999980334169812000020647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Харків обл/МТГ Первомай/33010100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UA548999980314131941000020647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ГУК Харків обл/МТГ Первомай/24060300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37874947</w:t>
      </w:r>
    </w:p>
    <w:p>
      <w:pPr>
        <w:numPr>
          <w:ilvl w:val="0"/>
          <w:numId w:val="1006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UA568999980314020544000020647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09.04.2024 13:19:04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Ждань Вячеслав Михайлович, ІПН/РНОКПП: 2893914591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ПМРХО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2024-05-15T14:35:04Z</dcterms:created>
  <dcterms:modified xsi:type="dcterms:W3CDTF">2024-05-15T14:35:04Z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