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c8699cd9a8bba6f13dd9c40577e53ebcc0786a"/>
      <w:r>
        <w:rPr>
          <w:b/>
        </w:rPr>
        <w:t xml:space="preserve">ПРОТОКОЛ ПРО РЕЗУЛЬТАТИ ЕЛЕКТРОННОГО АУКЦІОНУ № LLE001-UA-20230530-58518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АДМІНІСТРАТИВНИХ ПОСЛУГ ТА ДОЗВІЛЬНИХ ПРОЦЕДУР ДНІПРОВСЬКОЇ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05.06.2023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05.06.2023 12:22:03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оренди комунального майна</w:t>
      </w:r>
    </w:p>
    <w:p>
      <w:pPr>
        <w:numPr>
          <w:ilvl w:val="0"/>
          <w:numId w:val="1001"/>
        </w:numPr>
        <w:pStyle w:val="Compact"/>
      </w:pPr>
      <w:r>
        <w:t xml:space="preserve">приміщення на 1-му поверсі 3-х поверхової будівлі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143,65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8 760,00 грн, у т.ч. ПДВ</w:t>
      </w:r>
      <w:r>
        <w:t xml:space="preserve"> </w:t>
      </w:r>
      <w:r>
        <w:t xml:space="preserve">1 460,00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5 178,00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201,00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08:30:30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1 899,00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02.06.2023 16:30:07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3 189,00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02.06.2023 15:09:34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02.06.2023 16:31:05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11:42:52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3 405,00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11:44:15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11:46:13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6 105,00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11:50:31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11:56:29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11:59:12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6 105,00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11:50:31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6 499,00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12:12:45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7 299,00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12:13:30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7 298,00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12:18:31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12:20:37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Дн-ській обл. м. Дніпро.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37988155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UA338999980314010593000004569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Дн-ській обл. м. Дніпро.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37988155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UA338999980314010593000004569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5 256,00 грн (п'ять тисяч двісті п'ятдесят шість гривень 00 копійок), у т.ч. ПДВ</w:t>
      </w:r>
      <w:r>
        <w:t xml:space="preserve"> </w:t>
      </w:r>
      <w:r>
        <w:t xml:space="preserve">876,00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8 760,00 грн, у т.ч. ПДВ</w:t>
      </w:r>
      <w:r>
        <w:t xml:space="preserve"> </w:t>
      </w:r>
      <w:r>
        <w:t xml:space="preserve">1 460,00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05.06.2023 12:22:03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АДМІНІСТРАТИВНИХ ПОСЛУГ ТА ДОЗВІЛЬНИХ ПРОЦЕДУР ДНІПРОВСЬКОЇ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2024-05-05T08:50:11Z</dcterms:created>
  <dcterms:modified xsi:type="dcterms:W3CDTF">2024-05-05T08:50:11Z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