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9798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Договір про надання послуг </w:t>
      </w:r>
    </w:p>
    <w:p w14:paraId="448159AA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із забезпечення участі у відкритих електронних торгах (аукціонах)</w:t>
      </w:r>
    </w:p>
    <w:p w14:paraId="3159B87C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A072BD6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м.Львів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«___» ___________ 202__ р.</w:t>
      </w:r>
    </w:p>
    <w:p w14:paraId="602992D2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27993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EDCD6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Товарна біржа «Товарно-сировинна біржа «Галконтракт»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(далі - Оператор), в особі виконавчого директора Мамаєвої Стелли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Пантелеївни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яка діє на підставі Статуту, та 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(далі - Користувач), в особі __________________________, який діє на підставі ____________________, з іншої сторони надалі разом іменовані - Сторони, уклали цей </w:t>
      </w:r>
      <w:r>
        <w:rPr>
          <w:rFonts w:ascii="Times New Roman" w:eastAsia="Times New Roman" w:hAnsi="Times New Roman" w:cs="Times New Roman"/>
          <w:sz w:val="24"/>
          <w:szCs w:val="24"/>
        </w:rPr>
        <w:t>про надання послуг із забезпечення участі Користувача у відкритих електронних торгах (аукціонах) з використанням Електронної торгової системи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ProZorro.Продажі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а також пов’язаних з цим консультаційних послуг, який у подальшому іменується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Договір</w:t>
      </w:r>
      <w:r>
        <w:rPr>
          <w:rFonts w:ascii="Times New Roman" w:eastAsia="Times New Roman" w:hAnsi="Times New Roman" w:cs="Times New Roman"/>
          <w:sz w:val="24"/>
          <w:szCs w:val="24"/>
        </w:rPr>
        <w:t>, на наст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упних умовах: </w:t>
      </w:r>
    </w:p>
    <w:p w14:paraId="4ADACED0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Загальні положення</w:t>
      </w:r>
    </w:p>
    <w:p w14:paraId="473CEFEF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Відповідно до Постанови Кабінету Міністрів України від 16.12.2015 № 1035 «Про обмеження поставок окремих товарів (робіт, послуг) з тимчасово окупованої території на іншу територію України та/або з іншої території України на тимчасово окуповану територ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ію», в період тимчасовий окупації Договір не може бути укладений з суб`єктами господарювання з місцезнаходженням (місцем проживання) на тимчасово окупованій території. </w:t>
      </w:r>
    </w:p>
    <w:p w14:paraId="07CD6CA9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Указом Президента України від 15.05.2017 № 133/2017 введено в дію рішення Ради нац</w:t>
      </w:r>
      <w:r>
        <w:rPr>
          <w:rFonts w:ascii="Times New Roman" w:eastAsia="Times New Roman" w:hAnsi="Times New Roman" w:cs="Times New Roman"/>
          <w:sz w:val="24"/>
          <w:szCs w:val="24"/>
        </w:rPr>
        <w:t>іональної безпеки і оборони України від 28.04.2017 "Про застосування персональних спеціальних економічних та інших обмежувальних заходів (санкцій)" (надалі – Рішення), яким тимчасово обмежено проведення визначених операції певному переліку осіб, які вміщен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 в Додатку 1 та Додатку 2 до Рішення. </w:t>
      </w:r>
    </w:p>
    <w:p w14:paraId="6ECE31C9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Юридична чи фізична особа, яка підписує даний Договір, підтверджує факт, що вона не входить до переліку осіб, щодо яких існують обмеження діяльності на території України та/або про які йде мова в п. 1.1 та п.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цього Договору. </w:t>
      </w:r>
    </w:p>
    <w:p w14:paraId="7758D42B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Предмет Договору. </w:t>
      </w:r>
    </w:p>
    <w:p w14:paraId="25D0620B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Предметом Договору є забезпечення участі Користувача у відкритих електронних торгах (аукціонах) з використанням Електронної торгової системи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ProZorro.Продажі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(далі – ЕТС), шляхом надання Оператором доступу до користування електронною торговою систем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ою, яка розміщена за адресою в мережі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sales.tsbgalcontract.org.ua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Надання доступу Користувачу до ЕТС передбачає серед іншого виконання таких послуг, як послуг з реєстрації Користувача, автоматичного розміщення, отримання і передання інформації,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але не виключно цінових пропозицій, та документів під час проведення електронних торгів (далі – Послуги) на інтернет-сайті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sales.tsbgalcontract.org.ua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(далі – Електронний майданчик), відповідно до обраних Користувачем торгів, які розміщені в ЕТС, на</w:t>
      </w:r>
      <w:r>
        <w:rPr>
          <w:rFonts w:ascii="Times New Roman" w:eastAsia="Times New Roman" w:hAnsi="Times New Roman" w:cs="Times New Roman"/>
          <w:sz w:val="24"/>
          <w:szCs w:val="24"/>
        </w:rPr>
        <w:t>дання можливості розміщувати/публікувати заяви щодо об`єктів оренди тощо.. Інформація про електронні торги в ЕТС також відображаються на інтернет-сайті Електронного майданчика.</w:t>
      </w:r>
    </w:p>
    <w:p w14:paraId="464E138B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Користувач погоджується з умовами і зобов`язується виконувати Регламенти Е</w:t>
      </w:r>
      <w:r>
        <w:rPr>
          <w:rFonts w:ascii="Times New Roman" w:eastAsia="Times New Roman" w:hAnsi="Times New Roman" w:cs="Times New Roman"/>
          <w:sz w:val="24"/>
          <w:szCs w:val="24"/>
        </w:rPr>
        <w:t>ТС, файли яких розміщені на веб-сторінці Оператора у розділі «Регламент» за посиланням https://sales.tsbgalcontract.org.ua/reglament.aspx, які є невід`ємною частиною Договору, а також Порядок проведення електронних аукціонів для продажу об’єктів малої прив</w:t>
      </w:r>
      <w:r>
        <w:rPr>
          <w:rFonts w:ascii="Times New Roman" w:eastAsia="Times New Roman" w:hAnsi="Times New Roman" w:cs="Times New Roman"/>
          <w:sz w:val="24"/>
          <w:szCs w:val="24"/>
        </w:rPr>
        <w:t>атизації, затверджений Постановою КМУ №432 від 10.05.2018 року зі змінами та доповненнями, Порядок передачі в оренду об’єктів державного та комунального майна, затверджений Постановою КМУ №483 від 03.06.2020 року, Вимоги щодо підготовки до проведення та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оведення земельних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торгів для продажу земельних ділянок та набуття прав користування ними (оренди,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емфітевзису), затверджені Постановою КМУ №1013 від 22.09.2021 року (надалі – Порядки), інші нормативно-правові акти, які регламентують проведення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електронних аукціонів в ЕТС,  і своєю реєстрацією на Електронному майданчику підтверджує свою безумовну згоду до їх дотримання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C508347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Реєстрація Користувача на Електронному майданчику здійснюється одним із способів ідентифікації/авторизації:</w:t>
      </w:r>
    </w:p>
    <w:p w14:paraId="77C91514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юридичних </w:t>
      </w:r>
      <w:r>
        <w:rPr>
          <w:rFonts w:ascii="Times New Roman" w:eastAsia="Times New Roman" w:hAnsi="Times New Roman" w:cs="Times New Roman"/>
          <w:sz w:val="24"/>
          <w:szCs w:val="24"/>
        </w:rPr>
        <w:t>осіб та фізичних осіб-підприємців:</w:t>
      </w:r>
    </w:p>
    <w:p w14:paraId="783A9BBF" w14:textId="77777777" w:rsidR="008B03C2" w:rsidRDefault="003A2BC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  <w:tab w:val="left" w:pos="709"/>
        </w:tabs>
        <w:spacing w:line="240" w:lineRule="auto"/>
        <w:ind w:left="0" w:right="10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шляхом завантаження в створений Особистий кабінет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(персональний розділ Користувача на Електронному майданчику, доступ до якого мають лише Користувач та Оператор) </w:t>
      </w:r>
      <w:r>
        <w:rPr>
          <w:rFonts w:ascii="Times New Roman" w:eastAsia="Times New Roman" w:hAnsi="Times New Roman" w:cs="Times New Roman"/>
          <w:sz w:val="24"/>
          <w:szCs w:val="24"/>
        </w:rPr>
        <w:t>копій витягу з Єдиного державного реєстру юридичних осіб, ф</w:t>
      </w:r>
      <w:r>
        <w:rPr>
          <w:rFonts w:ascii="Times New Roman" w:eastAsia="Times New Roman" w:hAnsi="Times New Roman" w:cs="Times New Roman"/>
          <w:sz w:val="24"/>
          <w:szCs w:val="24"/>
        </w:rPr>
        <w:t>ізичних осіб –підприємців та господарських формувань (надалі – ЄДР) та документів (наказ, довіреність тощо), які підтверджують повноваження представника юридичної особи, та кольорової сканованої копії сторінок паспорта громадянина України (або іншого докум</w:t>
      </w:r>
      <w:r>
        <w:rPr>
          <w:rFonts w:ascii="Times New Roman" w:eastAsia="Times New Roman" w:hAnsi="Times New Roman" w:cs="Times New Roman"/>
          <w:sz w:val="24"/>
          <w:szCs w:val="24"/>
        </w:rPr>
        <w:t>ента, що посвідчує особу та відповідно до законодавства України може бути використаним на території України для укладення правочинів) для осіб (представників), які діють на підставі довіреності.</w:t>
      </w:r>
    </w:p>
    <w:p w14:paraId="7B75D569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фізичних осіб:</w:t>
      </w:r>
    </w:p>
    <w:p w14:paraId="7289140E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  шляхом завантаження в створений Особистий кабінет сканованої копії сторінок паспорта громадянина України (або іншого документа, що посвідчує особу та відповідно до законодавства України може бути використаним на території України для укладення правочин</w:t>
      </w:r>
      <w:r>
        <w:rPr>
          <w:rFonts w:ascii="Times New Roman" w:eastAsia="Times New Roman" w:hAnsi="Times New Roman" w:cs="Times New Roman"/>
          <w:sz w:val="24"/>
          <w:szCs w:val="24"/>
        </w:rPr>
        <w:t>ів), які містять прізвище, ім`я та (за наявності) по батькові, дату народження, фотокартку(и), що відповідає(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його вікові та дату(и) її (їх) вклеювання, номер паспорта громадянина України (або іншого документа, що посвідчує особу та відповідно до закон</w:t>
      </w:r>
      <w:r>
        <w:rPr>
          <w:rFonts w:ascii="Times New Roman" w:eastAsia="Times New Roman" w:hAnsi="Times New Roman" w:cs="Times New Roman"/>
          <w:sz w:val="24"/>
          <w:szCs w:val="24"/>
        </w:rPr>
        <w:t>одавства України може бути використаним на території України для укладення правочинів), дату видачі та найменування органу, що видав документ, інформацію про громадянство (якщо особа є нерезидентом), копію документа, що містить реєстраційний номер обліково</w:t>
      </w:r>
      <w:r>
        <w:rPr>
          <w:rFonts w:ascii="Times New Roman" w:eastAsia="Times New Roman" w:hAnsi="Times New Roman" w:cs="Times New Roman"/>
          <w:sz w:val="24"/>
          <w:szCs w:val="24"/>
        </w:rPr>
        <w:t>ї картки платника податків України (або ідентифікаційний номер згідно з Державним реєстром фізичних осіб – платників податків та інших обов`язкових платежів) або номер (та за наявності – серію) паспорта громадянина України, у якому проставлено відмітку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носії;</w:t>
      </w:r>
    </w:p>
    <w:p w14:paraId="0FD3411E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При ре</w:t>
      </w:r>
      <w:r>
        <w:rPr>
          <w:rFonts w:ascii="Times New Roman" w:eastAsia="Times New Roman" w:hAnsi="Times New Roman" w:cs="Times New Roman"/>
          <w:sz w:val="24"/>
          <w:szCs w:val="24"/>
        </w:rPr>
        <w:t>єстрації Користувача на Електронному майданчику Оператор перевіряє достовірність ідентифікаційної інформації (до такої інформації можна віднести, зокрема, для українських юридичних осіб – ідентифікаційний код (код ЄДРПОУ), найменування, адреса місцезнаходж</w:t>
      </w:r>
      <w:r>
        <w:rPr>
          <w:rFonts w:ascii="Times New Roman" w:eastAsia="Times New Roman" w:hAnsi="Times New Roman" w:cs="Times New Roman"/>
          <w:sz w:val="24"/>
          <w:szCs w:val="24"/>
        </w:rPr>
        <w:t>ення, контактна інформація, для фізичних осіб-резидентів – реєстраційний номер облікової картки платника податків, паспортні дані, адреси та контактна інформація), наданої користувачем, що має намір прийняти участь в електронних торгах.</w:t>
      </w:r>
    </w:p>
    <w:p w14:paraId="3675E242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2.5.Учасниками елек</w:t>
      </w:r>
      <w:r>
        <w:rPr>
          <w:rFonts w:ascii="Times New Roman" w:eastAsia="Times New Roman" w:hAnsi="Times New Roman" w:cs="Times New Roman"/>
          <w:sz w:val="24"/>
          <w:szCs w:val="24"/>
        </w:rPr>
        <w:t>тронних торгів, предметом яких є відступлення права вимоги за кредитними договорами та договорами забезпечення, не можуть бути особи, які є боржниками та/або поручителями за такими кредитами та/або договорами забезпечення виконанні зобов’язання. Учасник (п</w:t>
      </w:r>
      <w:r>
        <w:rPr>
          <w:rFonts w:ascii="Times New Roman" w:eastAsia="Times New Roman" w:hAnsi="Times New Roman" w:cs="Times New Roman"/>
          <w:sz w:val="24"/>
          <w:szCs w:val="24"/>
        </w:rPr>
        <w:t>отенційний покупець), який має намір прийняти участь у електронних торгах, предметом продажу на яких є право вимоги за кредитними договорами та договорами забезпечення, надає електронному майданчику письмове запевнення, що учасник (потенційний покупець)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є боржником та/або поручителем за відповідними кредитними договорами та/або договорами забезпечення виконання зобов`язання.</w:t>
      </w:r>
    </w:p>
    <w:p w14:paraId="6375C6F4" w14:textId="77777777" w:rsidR="008B03C2" w:rsidRDefault="003A2BCA" w:rsidP="00C671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2.6. Учасниками електронних торгів, предметом яких є продаж об’єктів малої приватизації в розумінні Закону України «Про приватизаці</w:t>
      </w:r>
      <w:r>
        <w:rPr>
          <w:rFonts w:ascii="Times New Roman" w:eastAsia="Times New Roman" w:hAnsi="Times New Roman" w:cs="Times New Roman"/>
          <w:sz w:val="24"/>
          <w:szCs w:val="24"/>
        </w:rPr>
        <w:t>ю державного та комунального майна»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№ 2269-VIII)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від 18.01.2018 (надалі- Закон) </w:t>
      </w:r>
      <w:r>
        <w:rPr>
          <w:rFonts w:ascii="Times New Roman" w:eastAsia="Times New Roman" w:hAnsi="Times New Roman" w:cs="Times New Roman"/>
          <w:sz w:val="24"/>
          <w:szCs w:val="24"/>
        </w:rPr>
        <w:t>не можуть бути особи, які не відповідають критеріям, встановленим статтею 8 Закону для покупців об’єктів приватизації.</w:t>
      </w:r>
    </w:p>
    <w:p w14:paraId="385E7BB2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Учасниками електронних торгів, предметом яких передача </w:t>
      </w:r>
      <w:r>
        <w:rPr>
          <w:rFonts w:ascii="Times New Roman" w:eastAsia="Times New Roman" w:hAnsi="Times New Roman" w:cs="Times New Roman"/>
          <w:sz w:val="24"/>
          <w:szCs w:val="24"/>
        </w:rPr>
        <w:t>в оренду державного та комунального майна в розумінні Закону України «Про оренду державного та комунального майна»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№ 157-ХI)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від 03.09.2019 (надалі – Закон про оренду)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можуть бути особи, які не відповідають критеріям, встановленим частиною 4 статті 4 </w:t>
      </w:r>
      <w:r>
        <w:rPr>
          <w:rFonts w:ascii="Times New Roman" w:eastAsia="Times New Roman" w:hAnsi="Times New Roman" w:cs="Times New Roman"/>
          <w:sz w:val="24"/>
          <w:szCs w:val="24"/>
        </w:rPr>
        <w:t>Закону про оренду.</w:t>
      </w:r>
    </w:p>
    <w:p w14:paraId="1BBC3B93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 Обмеження щодо можливості участі в електронних торгах (аукціонах) щодо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продажу/надання в оренду інших видів майна (активів)/передачі права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ЕТС встановлюються відповідними нормативно-правовими актами та Регламентами ЕСТ, які регулю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ють порядок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продажу/надання в оренду відповідних видів майна (активів)/передачі права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463D10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Ціна Договору, умови оплати винагороди, гарантійних та реєстраційних внесків, порядок зміни тарифів. </w:t>
      </w:r>
    </w:p>
    <w:p w14:paraId="64A14D4D" w14:textId="77777777" w:rsidR="008B03C2" w:rsidRDefault="003A2BC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343"/>
          <w:tab w:val="left" w:pos="609"/>
        </w:tabs>
        <w:spacing w:before="120" w:after="120" w:line="240" w:lineRule="auto"/>
        <w:ind w:left="0" w:right="5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4869057"/>
      <w:r>
        <w:rPr>
          <w:rFonts w:ascii="Times New Roman" w:eastAsia="Times New Roman" w:hAnsi="Times New Roman" w:cs="Times New Roman"/>
          <w:sz w:val="24"/>
          <w:szCs w:val="24"/>
        </w:rPr>
        <w:t>Ціну Договору становить розмір винагороди Оператора за забезпечення участі Користувача у відкритих електронних торгах (аукціонах) з використанням Електронної торгової системи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ProZorro.Продажі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шляхом надання Оператором доступу до користування електронною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торговою системою, яка сплачується за рахунок коштів гарантійного внеску Користувача-переможця електронних торгів, та/або сплачується Учасниками електронних торгів (Користувачами) в інший спосіб та у розмірі, встановленими   положеннями відповідного Регла</w:t>
      </w:r>
      <w:r>
        <w:rPr>
          <w:rFonts w:ascii="Times New Roman" w:eastAsia="Times New Roman" w:hAnsi="Times New Roman" w:cs="Times New Roman"/>
          <w:sz w:val="24"/>
          <w:szCs w:val="24"/>
        </w:rPr>
        <w:t>менту ЕТС, Порядку та інших нормативно-правових актів. Право вимоги грошової винагороди у Оператора виникає виключно після формування в системі Протоколу електронних торгів.</w:t>
      </w:r>
    </w:p>
    <w:p w14:paraId="1B1F6F8C" w14:textId="77777777" w:rsidR="008B03C2" w:rsidRDefault="003A2BC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  <w:tab w:val="left" w:pos="609"/>
        </w:tabs>
        <w:spacing w:before="120" w:after="120" w:line="240" w:lineRule="auto"/>
        <w:ind w:left="0" w:right="57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оплати винагороди Оператора встановлюється відповідним Регламентом ЕТС,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рядком, іншими нормативно-правовими актами, які регламентують порядок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продажу/надання в оренду майна (активів)/передачі права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ЕТС, та цим Договором.</w:t>
      </w:r>
    </w:p>
    <w:p w14:paraId="200708E8" w14:textId="77777777" w:rsidR="008B03C2" w:rsidRDefault="003A2BCA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Розмір грошової винагороди Оператора (плата за участь)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 придбаний актив, який належить до об’єктів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малої приватизації</w:t>
      </w:r>
      <w:r>
        <w:rPr>
          <w:rFonts w:ascii="Times New Roman" w:eastAsia="Times New Roman" w:hAnsi="Times New Roman" w:cs="Times New Roman"/>
          <w:sz w:val="24"/>
          <w:szCs w:val="24"/>
        </w:rPr>
        <w:t>, встановлюється у відсотках від продажної ціни відповідного лоту (активу) та становить з урахуванням ПДВ:</w:t>
      </w:r>
    </w:p>
    <w:p w14:paraId="5642DE5A" w14:textId="77777777" w:rsidR="008B03C2" w:rsidRDefault="003A2BCA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 разі, коли ціна продажу становить понад  64 000 000 </w:t>
      </w:r>
      <w:bookmarkStart w:id="1" w:name="bookmark=kix.rwgpoi1xpstx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гривень, - 1 відсоток;</w:t>
      </w:r>
    </w:p>
    <w:p w14:paraId="5E5916C2" w14:textId="77777777" w:rsidR="008B03C2" w:rsidRDefault="003A2BCA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разі, коли ціна продажу становить від 4 000 000 гривень до 64 000 000 гривень, - 2,5</w:t>
      </w:r>
      <w:bookmarkStart w:id="2" w:name="bookmark=kix.16s57mycs5tr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відсотка;</w:t>
      </w:r>
    </w:p>
    <w:p w14:paraId="1ACAF82E" w14:textId="77777777" w:rsidR="008B03C2" w:rsidRDefault="003A2BCA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разі, коли ціна продажу становить до 4 000 000 гривень, - 4 відсотки.</w:t>
      </w:r>
    </w:p>
    <w:p w14:paraId="779FBF2B" w14:textId="77777777" w:rsidR="008B03C2" w:rsidRDefault="003A2BCA">
      <w:pPr>
        <w:spacing w:before="280" w:after="28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3.3.1. Користувач-Переможець електронного аукціону з продажу об’єктів малої приватизації (або Користувач, який єдиний зареєструвався на участь в аукціоні та отримав право на викуп об`єкта малої приватизації) здійснює оплату винагороди Оператора протягом 3-</w:t>
      </w:r>
      <w:r>
        <w:rPr>
          <w:rFonts w:ascii="Times New Roman" w:eastAsia="Times New Roman" w:hAnsi="Times New Roman" w:cs="Times New Roman"/>
          <w:sz w:val="24"/>
          <w:szCs w:val="24"/>
        </w:rPr>
        <w:t>х банківських днів з моменту завершення аукціону (формування ЕТС відповідного протоколу електронних торгів, в тому числі протоколу, в якому буде зазначено, що для участі у торгах зареєструвався лише один учасник) в розмірі, визначеному відповідно до умов п</w:t>
      </w:r>
      <w:r>
        <w:rPr>
          <w:rFonts w:ascii="Times New Roman" w:eastAsia="Times New Roman" w:hAnsi="Times New Roman" w:cs="Times New Roman"/>
          <w:sz w:val="24"/>
          <w:szCs w:val="24"/>
        </w:rPr>
        <w:t>.3.3 цього Договору.</w:t>
      </w:r>
    </w:p>
    <w:p w14:paraId="4675D93E" w14:textId="77777777" w:rsidR="008B03C2" w:rsidRDefault="003A2BCA">
      <w:pPr>
        <w:spacing w:before="280" w:after="28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У випадку проведення електронних аукціонів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 оренди майна (активів)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винагорода Оператора (плата за участь) встановлюється у розмірі 5 (п` ять) відсотків від річної суми орендної плати, встановленої за  результатами електронного ау</w:t>
      </w:r>
      <w:r>
        <w:rPr>
          <w:rFonts w:ascii="Times New Roman" w:eastAsia="Times New Roman" w:hAnsi="Times New Roman" w:cs="Times New Roman"/>
          <w:sz w:val="24"/>
          <w:szCs w:val="24"/>
        </w:rPr>
        <w:t>кціону з урахуванням податку на додану вартість, або 3 (три) відсотки від річної суми орендної плати, встановленої за  результатами електронного аукціону з урахуванням податку на додану вартість для аукціонів з продовження договорів оренди, якщо переможцем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аукціону став чинний орендар.</w:t>
      </w:r>
    </w:p>
    <w:p w14:paraId="321C0CD8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 випадку проведення електронних аукціонів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 продажу або оренди майна АТ “Укрзалізниця”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плата за участь (винагорода) встановлюється у розмірі 1 (один) відсоток від ціни продажу майна АТ “Укрзалізниця” або від </w:t>
      </w:r>
      <w:r>
        <w:rPr>
          <w:rFonts w:ascii="Times New Roman" w:eastAsia="Times New Roman" w:hAnsi="Times New Roman" w:cs="Times New Roman"/>
          <w:sz w:val="24"/>
          <w:szCs w:val="24"/>
        </w:rPr>
        <w:t>річної орен</w:t>
      </w:r>
      <w:r>
        <w:rPr>
          <w:rFonts w:ascii="Times New Roman" w:eastAsia="Times New Roman" w:hAnsi="Times New Roman" w:cs="Times New Roman"/>
          <w:sz w:val="24"/>
          <w:szCs w:val="24"/>
        </w:rPr>
        <w:t>дної плати, встановленої результатами електронного аукціону з урахуванням податку на додану вартість.</w:t>
      </w:r>
    </w:p>
    <w:p w14:paraId="792594D4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 випадку проведення електронних аукціонів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 продажу майна АТ КБ «ПРИВАТБАНК»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плата за участь (винагорода), яка підлягатиме сплаті учасником, у разі </w:t>
      </w:r>
      <w:r>
        <w:rPr>
          <w:rFonts w:ascii="Times New Roman" w:eastAsia="Times New Roman" w:hAnsi="Times New Roman" w:cs="Times New Roman"/>
          <w:sz w:val="24"/>
          <w:szCs w:val="24"/>
        </w:rPr>
        <w:t>визнання його переможцем електронного аукціону, встановлюється у наступному розмірі (з  урахуванням податку на додану вартість):</w:t>
      </w:r>
    </w:p>
    <w:p w14:paraId="31CB8B78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разі, коли ціна продажу лоту становить понад 64 000 тис. гривень, - 1,5 відсотка від ціни продажу лоту;</w:t>
      </w:r>
    </w:p>
    <w:p w14:paraId="68B23735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разі, коли ціна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продажу лоту становить від 4 000 тис гривень до 64 000 тис. гривень, - від 3 відсотка від ціни продажу лоту;</w:t>
      </w:r>
    </w:p>
    <w:p w14:paraId="17FCEA70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разі, коли ціна продажу лоту становить до 4 000 тис. гривень, - 4.5 відсотка від ціни продажу лоту.</w:t>
      </w:r>
    </w:p>
    <w:p w14:paraId="5CBA79AB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DA6AB0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У випадку, якщо сума плати за участь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(винагороди) Оператора перевищує розмір гарантійного внеску, Користувач-переможець зобов'язаний провести повний розрахунок з Оператором (здійснити доплату) після формування протоколу електронного аукціону, але до моменту публікації договору купівлі-продаж</w:t>
      </w:r>
      <w:r>
        <w:rPr>
          <w:rFonts w:ascii="Times New Roman" w:eastAsia="Times New Roman" w:hAnsi="Times New Roman" w:cs="Times New Roman"/>
          <w:sz w:val="24"/>
          <w:szCs w:val="24"/>
        </w:rPr>
        <w:t>у/оренди (договору, на підставі якого буде передане право) відповідного лоту в ЕТС.</w:t>
      </w:r>
    </w:p>
    <w:p w14:paraId="6E3BCC68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DB655" w14:textId="77777777" w:rsidR="008B03C2" w:rsidRDefault="003A2BCA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Розмір грошової винагороди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придбаний актив, який належить до об’єктів державного та/або комунального майна, майна підприємств, установ та організацій державної 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комунальної форми власності або державна чи комунальна частка у яких перевищує 50 відсотків, (за виключенням об’єктів малої приватизації)</w:t>
      </w:r>
      <w:r>
        <w:rPr>
          <w:rFonts w:ascii="Times New Roman" w:eastAsia="Times New Roman" w:hAnsi="Times New Roman" w:cs="Times New Roman"/>
          <w:sz w:val="24"/>
          <w:szCs w:val="24"/>
        </w:rPr>
        <w:t>, встановлюється у відсотках від продажної ціни відповідного лоту (активу) та становить з урахуванням ПДВ:</w:t>
      </w:r>
    </w:p>
    <w:p w14:paraId="19E89ACC" w14:textId="77777777" w:rsidR="008B03C2" w:rsidRDefault="008B03C2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73544" w14:textId="77777777" w:rsidR="008B03C2" w:rsidRDefault="003A2BCA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разі, коли ціна продажу становить понад 64 000 000 (шістдесят чотири мільйони) гривень, - 1,5 відсотка;</w:t>
      </w:r>
    </w:p>
    <w:p w14:paraId="5D132B2C" w14:textId="77777777" w:rsidR="008B03C2" w:rsidRDefault="003A2BCA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разі, коли ціна продажу становить від 4 000 000 (чотири мільйони) гривень до 64 000 000 (шістдесят чотири мільйони) гривень, - 3 відсотка;</w:t>
      </w:r>
    </w:p>
    <w:p w14:paraId="436C1D09" w14:textId="77777777" w:rsidR="008B03C2" w:rsidRDefault="003A2BCA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р</w:t>
      </w:r>
      <w:r>
        <w:rPr>
          <w:rFonts w:ascii="Times New Roman" w:eastAsia="Times New Roman" w:hAnsi="Times New Roman" w:cs="Times New Roman"/>
          <w:sz w:val="24"/>
          <w:szCs w:val="24"/>
        </w:rPr>
        <w:t>азі, коли ціна продажу становить до 4 000 000 (чотири мільйони) гривень, - 5 відсотків.</w:t>
      </w:r>
    </w:p>
    <w:p w14:paraId="25A2CB3F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3.8.1. Дана грошова винагорода (плата за участь) вираховується із суми гарантійного внеску, внесеного користувачем-переможцем електронного аукціону на рахунок Оператора</w:t>
      </w:r>
      <w:r>
        <w:rPr>
          <w:rFonts w:ascii="Times New Roman" w:eastAsia="Times New Roman" w:hAnsi="Times New Roman" w:cs="Times New Roman"/>
          <w:sz w:val="24"/>
          <w:szCs w:val="24"/>
        </w:rPr>
        <w:t>, не пізніше 3 (трьох) робочих днів з моменту публікації договору купівлі-продажу/оренди (договору, на підставі якого буде передане право) відповідного лоту в ЕТС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715BF5B8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За участь у електронному аукціоні з продажу з продажу/надання в оренду майна (активів</w:t>
      </w:r>
      <w:r>
        <w:rPr>
          <w:rFonts w:ascii="Times New Roman" w:eastAsia="Times New Roman" w:hAnsi="Times New Roman" w:cs="Times New Roman"/>
          <w:sz w:val="24"/>
          <w:szCs w:val="24"/>
        </w:rPr>
        <w:t>)/передачі права (за виключенням електронних аукціонів з продажу об’єктів малої приватизації), Учасники сплачують реєстраційні внески у наступному розмірі:</w:t>
      </w:r>
    </w:p>
    <w:tbl>
      <w:tblPr>
        <w:tblStyle w:val="ae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B03C2" w14:paraId="2C0C8046" w14:textId="77777777">
        <w:tc>
          <w:tcPr>
            <w:tcW w:w="4785" w:type="dxa"/>
            <w:vAlign w:val="center"/>
          </w:tcPr>
          <w:p w14:paraId="404BF60A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тартова ціна реалізації/початкова орендна плата, грн.</w:t>
            </w:r>
          </w:p>
        </w:tc>
        <w:tc>
          <w:tcPr>
            <w:tcW w:w="4786" w:type="dxa"/>
            <w:vAlign w:val="center"/>
          </w:tcPr>
          <w:p w14:paraId="3D2ABFCA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участь, в неоподатковуваних мінімумах доходів громадян</w:t>
            </w:r>
          </w:p>
        </w:tc>
      </w:tr>
      <w:tr w:rsidR="008B03C2" w14:paraId="23632985" w14:textId="77777777">
        <w:tc>
          <w:tcPr>
            <w:tcW w:w="4785" w:type="dxa"/>
            <w:vAlign w:val="center"/>
          </w:tcPr>
          <w:p w14:paraId="76A1D9BD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20 000</w:t>
            </w:r>
          </w:p>
        </w:tc>
        <w:tc>
          <w:tcPr>
            <w:tcW w:w="4786" w:type="dxa"/>
            <w:vAlign w:val="center"/>
          </w:tcPr>
          <w:p w14:paraId="3A2B1F79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3C2" w14:paraId="39A7DC00" w14:textId="77777777">
        <w:tc>
          <w:tcPr>
            <w:tcW w:w="4785" w:type="dxa"/>
            <w:vAlign w:val="center"/>
          </w:tcPr>
          <w:p w14:paraId="2E3C8E83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50 000</w:t>
            </w:r>
          </w:p>
        </w:tc>
        <w:tc>
          <w:tcPr>
            <w:tcW w:w="4786" w:type="dxa"/>
            <w:vAlign w:val="center"/>
          </w:tcPr>
          <w:p w14:paraId="6433FE18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3C2" w14:paraId="6880BE73" w14:textId="77777777">
        <w:tc>
          <w:tcPr>
            <w:tcW w:w="4785" w:type="dxa"/>
            <w:vAlign w:val="center"/>
          </w:tcPr>
          <w:p w14:paraId="77AFBA72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200 000</w:t>
            </w:r>
          </w:p>
        </w:tc>
        <w:tc>
          <w:tcPr>
            <w:tcW w:w="4786" w:type="dxa"/>
            <w:vAlign w:val="center"/>
          </w:tcPr>
          <w:p w14:paraId="2B90AE70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03C2" w14:paraId="5962E7AC" w14:textId="77777777">
        <w:tc>
          <w:tcPr>
            <w:tcW w:w="4785" w:type="dxa"/>
            <w:vAlign w:val="center"/>
          </w:tcPr>
          <w:p w14:paraId="2E1731B9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1 000 000</w:t>
            </w:r>
          </w:p>
        </w:tc>
        <w:tc>
          <w:tcPr>
            <w:tcW w:w="4786" w:type="dxa"/>
            <w:vAlign w:val="center"/>
          </w:tcPr>
          <w:p w14:paraId="4ADB47EB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B03C2" w14:paraId="5243A7AD" w14:textId="77777777">
        <w:tc>
          <w:tcPr>
            <w:tcW w:w="4785" w:type="dxa"/>
            <w:vAlign w:val="center"/>
          </w:tcPr>
          <w:p w14:paraId="425EA181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Понад 1 000 000</w:t>
            </w:r>
          </w:p>
        </w:tc>
        <w:tc>
          <w:tcPr>
            <w:tcW w:w="4786" w:type="dxa"/>
            <w:vAlign w:val="center"/>
          </w:tcPr>
          <w:p w14:paraId="43669A8B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884883E" w14:textId="77777777" w:rsidR="008B03C2" w:rsidRDefault="008B03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343"/>
        </w:tabs>
        <w:spacing w:before="69" w:line="240" w:lineRule="auto"/>
        <w:ind w:left="0" w:right="-15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B77AE" w14:textId="77777777" w:rsidR="008B03C2" w:rsidRDefault="003A2B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343"/>
        </w:tabs>
        <w:spacing w:before="69" w:line="240" w:lineRule="auto"/>
        <w:ind w:left="0" w:right="-15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.1. За реєстрацію Заяви на участь в аукціоні з продажу об’єкта малої приватизації потенційний покупець вносить на рахунок оператора електронного майданчика реєстраційний внесок у розмірі 0,2 мінімальної заробітної плати станом на 1 січня поточного року.</w:t>
      </w:r>
    </w:p>
    <w:p w14:paraId="38DB4127" w14:textId="77777777" w:rsidR="008B03C2" w:rsidRDefault="003A2B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343"/>
        </w:tabs>
        <w:spacing w:before="69" w:line="240" w:lineRule="auto"/>
        <w:ind w:left="0" w:right="-15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.2. Реєстраційний внесок для участі в аукціоні з передачі в оренду державного або комунального майна потенційний орендар вносить на рахунок оператора електронного майданчика реєстраційний внесок у розмірі 0,1 мінімальної заробітної плати станом на 1 січня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поточного року</w:t>
      </w:r>
    </w:p>
    <w:p w14:paraId="4E5F4112" w14:textId="77777777" w:rsidR="008B03C2" w:rsidRDefault="003A2B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343"/>
        </w:tabs>
        <w:spacing w:before="69" w:line="240" w:lineRule="auto"/>
        <w:ind w:left="0" w:right="-15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.3.Фактичний розмір реєстраційного внеску зазначається у протоколі електронних торгів (аукціону).</w:t>
      </w:r>
    </w:p>
    <w:p w14:paraId="37502974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Розмір грошової винагороди Оператора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 придбаний спеціальний дозвіл на користування надрами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зазначається у відсотковому відношенні </w:t>
      </w:r>
      <w:r>
        <w:rPr>
          <w:rFonts w:ascii="Times New Roman" w:eastAsia="Times New Roman" w:hAnsi="Times New Roman" w:cs="Times New Roman"/>
          <w:sz w:val="24"/>
          <w:szCs w:val="24"/>
        </w:rPr>
        <w:t>до ціни продажу, яка зазначена в Протоколі аукціону. На момент акцепту оферти діють наступні тарифи:</w:t>
      </w:r>
    </w:p>
    <w:p w14:paraId="19531FC9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відсоток ціни реалізації лоту у разі, коли вона є меншою, ніж 15 000 000 грн.;</w:t>
      </w:r>
    </w:p>
    <w:p w14:paraId="24F710ED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- 0,5 відсотка ціни реалізації лота у разі, коли вона становить 15 000 0</w:t>
      </w:r>
      <w:r>
        <w:rPr>
          <w:rFonts w:ascii="Times New Roman" w:eastAsia="Times New Roman" w:hAnsi="Times New Roman" w:cs="Times New Roman"/>
          <w:sz w:val="24"/>
          <w:szCs w:val="24"/>
        </w:rPr>
        <w:t>00 грн. або більше.</w:t>
      </w:r>
    </w:p>
    <w:p w14:paraId="355122B3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CF543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Розмір грошової винагороди оператора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 придбане майно боржників у справах про банкрутство (неплатоспроможність)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встановлюється у відсотковому відношенні до ціни продажу та складає:</w:t>
      </w:r>
    </w:p>
    <w:p w14:paraId="7A49C2B5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550"/>
        <w:gridCol w:w="4679"/>
      </w:tblGrid>
      <w:tr w:rsidR="008B03C2" w14:paraId="322AA12B" w14:textId="77777777">
        <w:tc>
          <w:tcPr>
            <w:tcW w:w="4955" w:type="dxa"/>
            <w:gridSpan w:val="2"/>
            <w:vAlign w:val="center"/>
          </w:tcPr>
          <w:p w14:paraId="7ABFA2DF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Ціна продажу</w:t>
            </w:r>
          </w:p>
          <w:p w14:paraId="24D82E70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розмір прожиткового мінімуму для працездатних осіб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9" w:type="dxa"/>
            <w:vMerge w:val="restart"/>
            <w:vAlign w:val="center"/>
          </w:tcPr>
          <w:p w14:paraId="147A480C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від ціни продажу</w:t>
            </w:r>
          </w:p>
        </w:tc>
      </w:tr>
      <w:tr w:rsidR="008B03C2" w14:paraId="66838E91" w14:textId="77777777">
        <w:tc>
          <w:tcPr>
            <w:tcW w:w="2405" w:type="dxa"/>
            <w:vAlign w:val="center"/>
          </w:tcPr>
          <w:p w14:paraId="2875B9ED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</w:p>
        </w:tc>
        <w:tc>
          <w:tcPr>
            <w:tcW w:w="2550" w:type="dxa"/>
            <w:vAlign w:val="center"/>
          </w:tcPr>
          <w:p w14:paraId="476A81A1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4679" w:type="dxa"/>
            <w:vMerge/>
            <w:vAlign w:val="center"/>
          </w:tcPr>
          <w:p w14:paraId="5BFBD0BB" w14:textId="77777777" w:rsidR="008B03C2" w:rsidRDefault="008B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3C2" w14:paraId="4394FE01" w14:textId="77777777">
        <w:tc>
          <w:tcPr>
            <w:tcW w:w="2405" w:type="dxa"/>
            <w:vAlign w:val="center"/>
          </w:tcPr>
          <w:p w14:paraId="60013B72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Align w:val="center"/>
          </w:tcPr>
          <w:p w14:paraId="2A527E66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vAlign w:val="center"/>
          </w:tcPr>
          <w:p w14:paraId="39C7DDCE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3C2" w14:paraId="3FFE0EEE" w14:textId="77777777">
        <w:tc>
          <w:tcPr>
            <w:tcW w:w="2405" w:type="dxa"/>
            <w:vAlign w:val="center"/>
          </w:tcPr>
          <w:p w14:paraId="45E141DB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vAlign w:val="center"/>
          </w:tcPr>
          <w:p w14:paraId="6DA85210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9" w:type="dxa"/>
            <w:vAlign w:val="center"/>
          </w:tcPr>
          <w:p w14:paraId="6D61120B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03C2" w14:paraId="1074F5C8" w14:textId="77777777">
        <w:tc>
          <w:tcPr>
            <w:tcW w:w="2405" w:type="dxa"/>
            <w:vAlign w:val="center"/>
          </w:tcPr>
          <w:p w14:paraId="108F9FB3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0" w:type="dxa"/>
            <w:vAlign w:val="center"/>
          </w:tcPr>
          <w:p w14:paraId="70EE4455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679" w:type="dxa"/>
            <w:vAlign w:val="center"/>
          </w:tcPr>
          <w:p w14:paraId="7FC05474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3C2" w14:paraId="282B62C2" w14:textId="77777777">
        <w:tc>
          <w:tcPr>
            <w:tcW w:w="2405" w:type="dxa"/>
            <w:vAlign w:val="center"/>
          </w:tcPr>
          <w:p w14:paraId="7205B512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0" w:type="dxa"/>
            <w:vAlign w:val="center"/>
          </w:tcPr>
          <w:p w14:paraId="60007550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4679" w:type="dxa"/>
            <w:vAlign w:val="center"/>
          </w:tcPr>
          <w:p w14:paraId="0CA16EFC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03C2" w14:paraId="0C52790C" w14:textId="77777777">
        <w:tc>
          <w:tcPr>
            <w:tcW w:w="2405" w:type="dxa"/>
            <w:vAlign w:val="center"/>
          </w:tcPr>
          <w:p w14:paraId="23788292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понад 5 000</w:t>
            </w:r>
          </w:p>
        </w:tc>
        <w:tc>
          <w:tcPr>
            <w:tcW w:w="2550" w:type="dxa"/>
            <w:vAlign w:val="center"/>
          </w:tcPr>
          <w:p w14:paraId="6135E990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9" w:type="dxa"/>
            <w:vAlign w:val="center"/>
          </w:tcPr>
          <w:p w14:paraId="6C4E20F0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2FA7D87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E7869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Розмір грошової винагороди Оператора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придбану партію необробленої деревини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становить 0,5% відсотка від ціни реалізації лоту. За участь у електронному аукціоні учасники сплачують реєстраційний внесок у наступному розмірі: </w:t>
      </w:r>
    </w:p>
    <w:tbl>
      <w:tblPr>
        <w:tblStyle w:val="af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677"/>
      </w:tblGrid>
      <w:tr w:rsidR="008B03C2" w14:paraId="3A744215" w14:textId="77777777">
        <w:tc>
          <w:tcPr>
            <w:tcW w:w="4957" w:type="dxa"/>
            <w:vAlign w:val="center"/>
          </w:tcPr>
          <w:p w14:paraId="364E4237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 ціна</w:t>
            </w:r>
          </w:p>
        </w:tc>
        <w:tc>
          <w:tcPr>
            <w:tcW w:w="4677" w:type="dxa"/>
            <w:vAlign w:val="center"/>
          </w:tcPr>
          <w:p w14:paraId="734F0B5F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Реєстраційний внесок (грн.)</w:t>
            </w:r>
          </w:p>
        </w:tc>
      </w:tr>
      <w:tr w:rsidR="008B03C2" w14:paraId="2D44FF69" w14:textId="77777777">
        <w:tc>
          <w:tcPr>
            <w:tcW w:w="4957" w:type="dxa"/>
            <w:vAlign w:val="center"/>
          </w:tcPr>
          <w:p w14:paraId="1918022A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більше 300 тис. грн</w:t>
            </w:r>
          </w:p>
        </w:tc>
        <w:tc>
          <w:tcPr>
            <w:tcW w:w="4677" w:type="dxa"/>
            <w:vAlign w:val="center"/>
          </w:tcPr>
          <w:p w14:paraId="4917B343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340, 00 </w:t>
            </w:r>
          </w:p>
        </w:tc>
      </w:tr>
      <w:tr w:rsidR="008B03C2" w14:paraId="09A85A40" w14:textId="77777777">
        <w:tc>
          <w:tcPr>
            <w:tcW w:w="4957" w:type="dxa"/>
            <w:vAlign w:val="center"/>
          </w:tcPr>
          <w:p w14:paraId="4B073277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 300 тис. до 1 млн. грн</w:t>
            </w:r>
          </w:p>
        </w:tc>
        <w:tc>
          <w:tcPr>
            <w:tcW w:w="4677" w:type="dxa"/>
            <w:vAlign w:val="center"/>
          </w:tcPr>
          <w:p w14:paraId="6E27D878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510, 00 </w:t>
            </w:r>
          </w:p>
        </w:tc>
      </w:tr>
      <w:tr w:rsidR="008B03C2" w14:paraId="19F8DD3A" w14:textId="77777777">
        <w:tc>
          <w:tcPr>
            <w:tcW w:w="4957" w:type="dxa"/>
            <w:vAlign w:val="center"/>
          </w:tcPr>
          <w:p w14:paraId="1A9AF709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 1 млн. грн</w:t>
            </w:r>
          </w:p>
        </w:tc>
        <w:tc>
          <w:tcPr>
            <w:tcW w:w="4677" w:type="dxa"/>
            <w:vAlign w:val="center"/>
          </w:tcPr>
          <w:p w14:paraId="4603C712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1 700,00 </w:t>
            </w:r>
          </w:p>
        </w:tc>
      </w:tr>
    </w:tbl>
    <w:p w14:paraId="7B4BABD2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10B8882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Розмір винагороди Оператора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придбаний на митних аукціонах/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редукціонах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складає 5% від ціни продажу лоту. За участь в електронному аукціоні/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редукціоні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учасники сплачують реєстраційний внесок, який складає 10 неоподаткованих мінімумів доходів громадян.</w:t>
      </w:r>
    </w:p>
    <w:p w14:paraId="5280A862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Розмір грошової винагоро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 придбаний актив, який належить до майна юридичних осіб та суб’єктів господарювання, у яких фізичні особи або юридичні особи приватної форми власності володіють часткою (акціями, паями) у розмірі 50 і більше відсотків у статутному капіталі таких суб’є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ктів господарювання, майна фізичних осіб-підприємців (за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виключенням об’єктів малої приватизації)</w:t>
      </w:r>
      <w:r>
        <w:rPr>
          <w:rFonts w:ascii="Times New Roman" w:eastAsia="Times New Roman" w:hAnsi="Times New Roman" w:cs="Times New Roman"/>
          <w:sz w:val="24"/>
          <w:szCs w:val="24"/>
        </w:rPr>
        <w:t>, встановлюється у відсотках від продажної ціни відповідного лоту (активу) та становить з урахуванням ПДВ:</w:t>
      </w:r>
    </w:p>
    <w:p w14:paraId="2CC8AA8B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разі, коли ціна продажу становить понад 64 000 000 (шістдесят чотири мільйони) гривень, - 1,5 відсотка;</w:t>
      </w:r>
    </w:p>
    <w:p w14:paraId="29436266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разі, коли ціна продажу становить від 4 000 000 (чотири мільйони) гривень до 64 000 000 (шістдесят чотири мільйони) гривень, - 3 відсотка;</w:t>
      </w:r>
    </w:p>
    <w:p w14:paraId="1922BCF9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 р</w:t>
      </w:r>
      <w:r>
        <w:rPr>
          <w:rFonts w:ascii="Times New Roman" w:eastAsia="Times New Roman" w:hAnsi="Times New Roman" w:cs="Times New Roman"/>
          <w:sz w:val="24"/>
          <w:szCs w:val="24"/>
        </w:rPr>
        <w:t>азі, коли ціна продажу становить до 4 000 000 (чотири мільйони) гривень, - 5 відсотків.</w:t>
      </w:r>
    </w:p>
    <w:p w14:paraId="64B84EBB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15792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 випадку проведення електронних аукціонів (земельних торгів)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 продажу земельних ділянок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винагорода Оператора (плата за участь) встановлюється у розмір 5 (п`ять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% від ціни продажу лоту. У випадку проведення електронних аукціонів (земельних торгів)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 продажу права оренди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суперфіцію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емфітевзису) земельних ділянок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винагорода Оператора (плата за участь) встановлюється у розмірі 5 (п` ять) відсотків від річної суми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орендної плати, встановленої за  результатами електронного аукціону. </w:t>
      </w:r>
    </w:p>
    <w:p w14:paraId="67792446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18006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Надання доступу Користувачу до участі в конкретних електронних торгах здійснюється на умовах 100% (сто відсоткової) оплати гарантійного внеску, яка вноситься Користувачем до оголошеного в ЕТС строку прийняття пропозицій від Учасників за автоматично сформ</w:t>
      </w:r>
      <w:r>
        <w:rPr>
          <w:rFonts w:ascii="Times New Roman" w:eastAsia="Times New Roman" w:hAnsi="Times New Roman" w:cs="Times New Roman"/>
          <w:sz w:val="24"/>
          <w:szCs w:val="24"/>
        </w:rPr>
        <w:t>ованим в ЕТС рахунком. Розмір гарантійного внеску зазначається в описі, інформаційному повідомленні та документації аукціону.</w:t>
      </w:r>
    </w:p>
    <w:p w14:paraId="764943E9" w14:textId="5926F0D6" w:rsidR="008B03C2" w:rsidRDefault="00C671E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3.17.</w:t>
      </w:r>
      <w:r w:rsidR="003A2BCA">
        <w:rPr>
          <w:rFonts w:ascii="Times New Roman" w:eastAsia="Times New Roman" w:hAnsi="Times New Roman" w:cs="Times New Roman"/>
          <w:sz w:val="24"/>
          <w:szCs w:val="24"/>
        </w:rPr>
        <w:t xml:space="preserve">Гарантійний внесок є гарантійним грошовим забезпеченням, що вноситься учасниками на рахунок Оператора, та є складовою заходів, що </w:t>
      </w:r>
      <w:r w:rsidR="003A2BCA">
        <w:rPr>
          <w:rFonts w:ascii="Times New Roman" w:eastAsia="Times New Roman" w:hAnsi="Times New Roman" w:cs="Times New Roman"/>
          <w:sz w:val="24"/>
          <w:szCs w:val="24"/>
        </w:rPr>
        <w:t>вживаються Оператором для забезпечення виконання зобов’язань учасниками. При цьому, на перераховані на рахунок Оператора грошові кошти у вигляді грошового забезпечення, не поширюється право власності Оператора до моменту формування в ЕТС Протоколу електрон</w:t>
      </w:r>
      <w:r w:rsidR="003A2BCA">
        <w:rPr>
          <w:rFonts w:ascii="Times New Roman" w:eastAsia="Times New Roman" w:hAnsi="Times New Roman" w:cs="Times New Roman"/>
          <w:sz w:val="24"/>
          <w:szCs w:val="24"/>
        </w:rPr>
        <w:t>них торгів.</w:t>
      </w:r>
    </w:p>
    <w:p w14:paraId="73BF4AC3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3.18. Гарантійний внесок може вважатися сплаченим із моменту його зарахування на банківський рахунок Оператора, якщо це відбулося не пізніше ніж за одну годину до закінчення строку подання цінових пропозицій на участь у конкретних електронних т</w:t>
      </w:r>
      <w:r>
        <w:rPr>
          <w:rFonts w:ascii="Times New Roman" w:eastAsia="Times New Roman" w:hAnsi="Times New Roman" w:cs="Times New Roman"/>
          <w:sz w:val="24"/>
          <w:szCs w:val="24"/>
        </w:rPr>
        <w:t>оргах.</w:t>
      </w:r>
    </w:p>
    <w:p w14:paraId="0CA40444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3.19. Оператор, у випадку внесення змін до рішення відповідного органу державної влади, нормативно-правового акту, Регламенту, яким встановлюються/затверджуються граничні тарифи (граничні розміри винагороди), переглядає розміри винагороди, зазначені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п.3.3 – п.3.1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цього Договору, при цьому такі зміни вступають в силу з моменту розміщення змінених Тарифів (розмірів винагороди) на веб-сторінці Оператора за адресою https://sales.tsbgalcontract.org.ua/public-offer.aspx або з моменту набрання законної с</w:t>
      </w:r>
      <w:r>
        <w:rPr>
          <w:rFonts w:ascii="Times New Roman" w:eastAsia="Times New Roman" w:hAnsi="Times New Roman" w:cs="Times New Roman"/>
          <w:sz w:val="24"/>
          <w:szCs w:val="24"/>
        </w:rPr>
        <w:t>или нормативно-правовим актом органу державної влади, яким  вносяться відповідні зміни до тарифів.</w:t>
      </w:r>
    </w:p>
    <w:p w14:paraId="0B446E10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3.20. Користувач, у разі незгоди з переглянутими тарифами (розміром винагороди), має право відмовитись від Договору, повідомивши про це Оператора письмово. У разі неотримання відмови вважається, що Користувач погоджується з новими тарифами (розмірами винаг</w:t>
      </w:r>
      <w:r>
        <w:rPr>
          <w:rFonts w:ascii="Times New Roman" w:eastAsia="Times New Roman" w:hAnsi="Times New Roman" w:cs="Times New Roman"/>
          <w:sz w:val="24"/>
          <w:szCs w:val="24"/>
        </w:rPr>
        <w:t>ороди).</w:t>
      </w:r>
    </w:p>
    <w:p w14:paraId="5B3F089E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3.21. Повернення сплачених гарантійних внесків учасникам, а також розподіл винагороди Оператора/Операторів здійснюється відповідно до умов відповідного Регламенту ЕТС та Порядку. Актуальні Регламенти розміщені на електронному майданчику Оператора з</w:t>
      </w:r>
      <w:r>
        <w:rPr>
          <w:rFonts w:ascii="Times New Roman" w:eastAsia="Times New Roman" w:hAnsi="Times New Roman" w:cs="Times New Roman"/>
          <w:sz w:val="24"/>
          <w:szCs w:val="24"/>
        </w:rPr>
        <w:t>а посиланням https://sales.tsbgalcontract.org.ua/reglament.aspx.</w:t>
      </w:r>
    </w:p>
    <w:p w14:paraId="1C3A8711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3.23. За домовленістю з Користувачем у випадку надання Оператором додаткових послуг,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але не виключно з супроводу процедури реєстрації та участі Користувача в електронному  аукціоні,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 встановлюватись додаткова винагорода Оператора, розмір якої визначається за окремою домовленістю Сторін залежно від характеру та обсягу наданих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Користувачу додаткових послуг. У такому випадку сума додаткової винагороди оплачується Користувачем підставі </w:t>
      </w:r>
      <w:r>
        <w:rPr>
          <w:rFonts w:ascii="Times New Roman" w:eastAsia="Times New Roman" w:hAnsi="Times New Roman" w:cs="Times New Roman"/>
          <w:sz w:val="24"/>
          <w:szCs w:val="24"/>
        </w:rPr>
        <w:t>окремого рахунку.</w:t>
      </w:r>
    </w:p>
    <w:p w14:paraId="0C5C5FB6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3.24. Фактична обставина сплати винагороди Оператору в порядку та у розмірі, визначеному відповідно до п.3.3.-3.1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цього Договору, є доказом належності та повноти надання послуг Оператором й доказом прийняття послуг Користувачем без заува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жень, застережень та претензій. В такому випадку Акт приймання-передачі наданих послуг не складається та послуги вважаються наданими належним чином. </w:t>
      </w:r>
    </w:p>
    <w:bookmarkEnd w:id="0"/>
    <w:p w14:paraId="4ED07600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Термін дії Договору та припинення Договору</w:t>
      </w:r>
    </w:p>
    <w:p w14:paraId="2E4BB046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Договір набирає чинності з моменту його підписання упов</w:t>
      </w:r>
      <w:r>
        <w:rPr>
          <w:rFonts w:ascii="Times New Roman" w:eastAsia="Times New Roman" w:hAnsi="Times New Roman" w:cs="Times New Roman"/>
          <w:sz w:val="24"/>
          <w:szCs w:val="24"/>
        </w:rPr>
        <w:t>новаженими представниками Сторін і діє до закінчення календарного року, в якому він був укладений, але у будь якому випадку до повного виконання Сторонами своїх зобов`язань за цим Договором. Якщо за 10 (десять) календарних днів до дати закінчення строку ді</w:t>
      </w:r>
      <w:r>
        <w:rPr>
          <w:rFonts w:ascii="Times New Roman" w:eastAsia="Times New Roman" w:hAnsi="Times New Roman" w:cs="Times New Roman"/>
          <w:sz w:val="24"/>
          <w:szCs w:val="24"/>
        </w:rPr>
        <w:t>ї Договору жодна із Сторін не повідомила іншу про припинення даного Договору, то строк дії цього Договору вважається пролонгованим на кожний наступний рік.</w:t>
      </w:r>
    </w:p>
    <w:p w14:paraId="28B631D7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Договір може бути припинений:</w:t>
      </w:r>
    </w:p>
    <w:p w14:paraId="70A2D8B9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 У будь-який час за згодою Сторін;</w:t>
      </w:r>
    </w:p>
    <w:p w14:paraId="32612652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4.2.2. За ініціативою од</w:t>
      </w:r>
      <w:r>
        <w:rPr>
          <w:rFonts w:ascii="Times New Roman" w:eastAsia="Times New Roman" w:hAnsi="Times New Roman" w:cs="Times New Roman"/>
          <w:sz w:val="24"/>
          <w:szCs w:val="24"/>
        </w:rPr>
        <w:t>нієї із Сторін в разі порушення іншою Стороною умов Договору з письмовим повідомленням іншої Сторони. У такому випадку Договір вважається розірваним з моменту отримання Стороною, яка порушила умови Договору, відповідного письмового повідомлення від іншої С</w:t>
      </w:r>
      <w:r>
        <w:rPr>
          <w:rFonts w:ascii="Times New Roman" w:eastAsia="Times New Roman" w:hAnsi="Times New Roman" w:cs="Times New Roman"/>
          <w:sz w:val="24"/>
          <w:szCs w:val="24"/>
        </w:rPr>
        <w:t>торони;</w:t>
      </w:r>
    </w:p>
    <w:p w14:paraId="5407EE08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4.2.3. За ініціативою однієї із Сторін за умови письмового повідомлення іншої Сторони за 10 (десять) календарних днів до дати розірвання Договору;</w:t>
      </w:r>
    </w:p>
    <w:p w14:paraId="4F43855E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З інших підстав, передбачених цим Договором та чинним законодавством України.</w:t>
      </w:r>
    </w:p>
    <w:p w14:paraId="6C604688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Відомості про конфіденційність та гарантії</w:t>
      </w:r>
    </w:p>
    <w:p w14:paraId="447EB203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Вся інформація, якою Сторони обмінюються з метою виконання умов цього Договору, включаючи інформацію про технології та технічні рішення, використаних на Електронному майданчику, а також будь-яка комерційна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інформація про умови співпраці Сторін, є конфіденційною, і не підлягає розголошенню та/або використанню без письмової згоди іншої сторони, за винятком випадків вимушеного розголошення на вимогу уповноважених державних органів. У разі вимушеного розголошен</w:t>
      </w:r>
      <w:r>
        <w:rPr>
          <w:rFonts w:ascii="Times New Roman" w:eastAsia="Times New Roman" w:hAnsi="Times New Roman" w:cs="Times New Roman"/>
          <w:sz w:val="24"/>
          <w:szCs w:val="24"/>
        </w:rPr>
        <w:t>ня, Сторони зобов`язані негайно, але не пізніше, ніж протягом 3 (трьох) робочих днів з моменту вимушеного розголошення, письмово повідомити іншу Сторону про це.</w:t>
      </w:r>
    </w:p>
    <w:p w14:paraId="4B7FF86D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Оператор гарантує, що володіє всіма правами і повноваженнями, необхідними для укладення 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виконання Договору.</w:t>
      </w:r>
    </w:p>
    <w:p w14:paraId="076A578D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Погоджуючись з умовами цього Договору, Користувач засвідчує і гарантує Оператору, що:</w:t>
      </w:r>
    </w:p>
    <w:p w14:paraId="15AD698F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5.3.1. Користувач вказав достовірні дані (у тому числі персональні дані Користувача) при реєстрації в якості користувача на Електронному майданч</w:t>
      </w:r>
      <w:r>
        <w:rPr>
          <w:rFonts w:ascii="Times New Roman" w:eastAsia="Times New Roman" w:hAnsi="Times New Roman" w:cs="Times New Roman"/>
          <w:sz w:val="24"/>
          <w:szCs w:val="24"/>
        </w:rPr>
        <w:t>ику і при оформленні платіжних документів при оплаті Послуг;</w:t>
      </w:r>
    </w:p>
    <w:p w14:paraId="38B7424E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5.3.2. Користувач укладає Договір добровільно, при цьому Користувач:</w:t>
      </w:r>
    </w:p>
    <w:p w14:paraId="69777C61" w14:textId="77777777" w:rsidR="008B03C2" w:rsidRDefault="003A2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повністю ознайомився з умовами Договору;</w:t>
      </w:r>
    </w:p>
    <w:p w14:paraId="27EB9179" w14:textId="77777777" w:rsidR="008B03C2" w:rsidRDefault="003A2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повністю розуміє предмет Договору;</w:t>
      </w:r>
    </w:p>
    <w:p w14:paraId="13388894" w14:textId="77777777" w:rsidR="008B03C2" w:rsidRDefault="003A2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ознайомлений і повністю погоджується із Регламентами ЕТС та Порядком, який зазначений в п.2.2. Договору;</w:t>
      </w:r>
    </w:p>
    <w:p w14:paraId="7ADC6363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5.3.3. Користувач має всі права і повноваження, необхідні для укладення та виконання Договору.</w:t>
      </w:r>
    </w:p>
    <w:p w14:paraId="201D3079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Відповідальність і обмеження відповідальності</w:t>
      </w:r>
    </w:p>
    <w:p w14:paraId="1AD95086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З</w:t>
      </w:r>
      <w:r>
        <w:rPr>
          <w:rFonts w:ascii="Times New Roman" w:eastAsia="Times New Roman" w:hAnsi="Times New Roman" w:cs="Times New Roman"/>
          <w:sz w:val="24"/>
          <w:szCs w:val="24"/>
        </w:rPr>
        <w:t>а порушення умов Договору Сторони несуть відповідальність, встановлену Договором та/або чинним законодавством України.</w:t>
      </w:r>
    </w:p>
    <w:p w14:paraId="1DF2F1DC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Користувач в повному обсязі несе відповідальність за:</w:t>
      </w:r>
    </w:p>
    <w:p w14:paraId="0C353BD9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6.2.1. За зміст документів та інформації, що оприлюднюються під час процедури </w:t>
      </w:r>
      <w:r>
        <w:rPr>
          <w:rFonts w:ascii="Times New Roman" w:eastAsia="Times New Roman" w:hAnsi="Times New Roman" w:cs="Times New Roman"/>
          <w:sz w:val="24"/>
          <w:szCs w:val="24"/>
        </w:rPr>
        <w:t>участі в аукціоні. Оператор має право здійснювати контроль за інформацією, що розміщується Користувачем, та повідомляти Користувача, що розмістив інформацію неналежного змісту про такі випадки;</w:t>
      </w:r>
    </w:p>
    <w:p w14:paraId="7145ACC6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6.2.2. Достовірність та повноту відомостей, зазначених Користу</w:t>
      </w:r>
      <w:r>
        <w:rPr>
          <w:rFonts w:ascii="Times New Roman" w:eastAsia="Times New Roman" w:hAnsi="Times New Roman" w:cs="Times New Roman"/>
          <w:sz w:val="24"/>
          <w:szCs w:val="24"/>
        </w:rPr>
        <w:t>вачем при реєстрації в якості користувача на Електронному майданчику і достовірність гарантій і засвідчень Користувача, що містяться у розділі 5 Договору;</w:t>
      </w:r>
    </w:p>
    <w:p w14:paraId="190229EF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6.2.3. Свої дії, які вчиняються ним на Електронному майданчику під час реєстрації та участі в електро</w:t>
      </w:r>
      <w:r>
        <w:rPr>
          <w:rFonts w:ascii="Times New Roman" w:eastAsia="Times New Roman" w:hAnsi="Times New Roman" w:cs="Times New Roman"/>
          <w:sz w:val="24"/>
          <w:szCs w:val="24"/>
        </w:rPr>
        <w:t>нних аукціонах (торгах) , та дії осіб, які вчиняються від його імені з використанням його даних персональної ідентифікації;</w:t>
      </w:r>
    </w:p>
    <w:p w14:paraId="030F6F00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6.2.4. Розміщення на Електронному майданчику інформації шкідливого та образливого характеру та інформації, що не має відношення до п</w:t>
      </w:r>
      <w:r>
        <w:rPr>
          <w:rFonts w:ascii="Times New Roman" w:eastAsia="Times New Roman" w:hAnsi="Times New Roman" w:cs="Times New Roman"/>
          <w:sz w:val="24"/>
          <w:szCs w:val="24"/>
        </w:rPr>
        <w:t>роведення електронних аукціонів (торгів).</w:t>
      </w:r>
    </w:p>
    <w:p w14:paraId="0221F6D2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Беручи до уваги умови розділу 6 Договору, Користувач зобов`язується своїми силами і за свій рахунок вирішувати спори і врегулювати претензії третіх осіб щодо розміщуваних матеріалів, або відшкодувати збитки (в</w:t>
      </w:r>
      <w:r>
        <w:rPr>
          <w:rFonts w:ascii="Times New Roman" w:eastAsia="Times New Roman" w:hAnsi="Times New Roman" w:cs="Times New Roman"/>
          <w:sz w:val="24"/>
          <w:szCs w:val="24"/>
        </w:rPr>
        <w:t>ключаючи судові витрати), завдані Оператору Електронного майданчика в зв`язку з претензіями та позовами, підставою пред`явлення яких стало розміщення матеріалів Користувача.</w:t>
      </w:r>
    </w:p>
    <w:p w14:paraId="6C068305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У випадку затримки проведення розрахунків зі сплати винагороди Оператора біль</w:t>
      </w:r>
      <w:r>
        <w:rPr>
          <w:rFonts w:ascii="Times New Roman" w:eastAsia="Times New Roman" w:hAnsi="Times New Roman" w:cs="Times New Roman"/>
          <w:sz w:val="24"/>
          <w:szCs w:val="24"/>
        </w:rPr>
        <w:t>ше ніж на 5-ть календарних днів з моменту спливу граничних термінів проведення оплати винагороди, встановлених Регламентами ЕТС та/або Порядком, та/або цим Договором, Користувач додатково сплачує Оператору штраф у розмірі 100% від суми винагороди Оператора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визначеній відповідно до умов цього Договору. </w:t>
      </w:r>
    </w:p>
    <w:p w14:paraId="50DD5883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hd w:val="clear" w:color="auto" w:fill="FDFEFD"/>
        <w:tabs>
          <w:tab w:val="left" w:pos="343"/>
        </w:tabs>
        <w:spacing w:after="20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Персональні дані</w:t>
      </w:r>
    </w:p>
    <w:p w14:paraId="56997BF8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hd w:val="clear" w:color="auto" w:fill="FDFEFD"/>
        <w:tabs>
          <w:tab w:val="left" w:pos="343"/>
        </w:tabs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Усі документи, відомості, інформація про фізичну особу, отримані Оператором від Користувача, його уповноважених осіб  та пов‘язані з електронними торгами, які проводяться на Електронному майданчику Оператора, оброблюються Оператором (у тому числі збер</w:t>
      </w:r>
      <w:r>
        <w:rPr>
          <w:rFonts w:ascii="Times New Roman" w:eastAsia="Times New Roman" w:hAnsi="Times New Roman" w:cs="Times New Roman"/>
          <w:sz w:val="24"/>
          <w:szCs w:val="24"/>
        </w:rPr>
        <w:t>ігаються) з метою забезпечення повноцінного функціонування Електронного майданчику (в цілому, його окремих сервісів, модулів), забезпечення та задоволення потреб та вимог Користувача, учасників відкритих торгів (аукціонів) в електронній формі, у повній від</w:t>
      </w:r>
      <w:r>
        <w:rPr>
          <w:rFonts w:ascii="Times New Roman" w:eastAsia="Times New Roman" w:hAnsi="Times New Roman" w:cs="Times New Roman"/>
          <w:sz w:val="24"/>
          <w:szCs w:val="24"/>
        </w:rPr>
        <w:t>повідності до вимог законів України «Про захист персональних даних»,  «Про захист інформації в інформаційно-телекомунікаційних системах» та «Про систему гарантування вкладів фізичних осіб».</w:t>
      </w:r>
    </w:p>
    <w:p w14:paraId="5935C5E3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hd w:val="clear" w:color="auto" w:fill="FDFEFD"/>
        <w:tabs>
          <w:tab w:val="left" w:pos="343"/>
        </w:tabs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58BC6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hd w:val="clear" w:color="auto" w:fill="FDFEFD"/>
        <w:tabs>
          <w:tab w:val="left" w:pos="343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Реєструючись на Електронному майданчику кожен суб‘єкт  персо</w:t>
      </w:r>
      <w:r>
        <w:rPr>
          <w:rFonts w:ascii="Times New Roman" w:eastAsia="Times New Roman" w:hAnsi="Times New Roman" w:cs="Times New Roman"/>
          <w:sz w:val="24"/>
          <w:szCs w:val="24"/>
        </w:rPr>
        <w:t>нальних даних приймає цей Договір в цілому та повністю, та надає згоду на обробку своїх персональних даних та підтверджує те, що ознайомлений (а) з метою обробки персональних даних, зазначеними у цьому Договорі, та правами, наданими суб‘єкту згідно ст. 8 З</w:t>
      </w:r>
      <w:r>
        <w:rPr>
          <w:rFonts w:ascii="Times New Roman" w:eastAsia="Times New Roman" w:hAnsi="Times New Roman" w:cs="Times New Roman"/>
          <w:sz w:val="24"/>
          <w:szCs w:val="24"/>
        </w:rPr>
        <w:t>акону України «Про захист персональних даних». Користувач засвідчує,  що надає Оператору згоду на збирання, реєстрацію, накопичення, зберігання, адаптування,  поновлення, використання і поширення (розповсюдження, передачу), знеособлення, публікацію персона</w:t>
      </w:r>
      <w:r>
        <w:rPr>
          <w:rFonts w:ascii="Times New Roman" w:eastAsia="Times New Roman" w:hAnsi="Times New Roman" w:cs="Times New Roman"/>
          <w:sz w:val="24"/>
          <w:szCs w:val="24"/>
        </w:rPr>
        <w:t>льних даних Користувача, у тому числі з використанням інформаційних (автоматизованих) систем, а також на передачу персональних даних Адміністратору центральної бази даних, з якою співпрацює Оператор відповідно до мети використання ЕТС, та третім особам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проведення електронних торгів відповідно до Регламентів ЕТС та Порядку .</w:t>
      </w:r>
    </w:p>
    <w:p w14:paraId="2D0023DE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hd w:val="clear" w:color="auto" w:fill="FDFEFD"/>
        <w:tabs>
          <w:tab w:val="left" w:pos="343"/>
        </w:tabs>
        <w:spacing w:before="150" w:after="20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7.3. Оброблення персональних даних користувачів здійснюється як Електронним майданчиком автоматично, так і у деяких випадках - вповноваженими працівниками Оператора, у електронному та паперовому виді, в картотеках, систематизованих документах (протоколах, </w:t>
      </w:r>
      <w:r>
        <w:rPr>
          <w:rFonts w:ascii="Times New Roman" w:eastAsia="Times New Roman" w:hAnsi="Times New Roman" w:cs="Times New Roman"/>
          <w:sz w:val="24"/>
          <w:szCs w:val="24"/>
        </w:rPr>
        <w:t>відомостях, книгах, реєстрах), інших окремих документах (договорах, рахунках, актах тощо).</w:t>
      </w:r>
    </w:p>
    <w:p w14:paraId="796CB5B7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hd w:val="clear" w:color="auto" w:fill="FDFEFD"/>
        <w:tabs>
          <w:tab w:val="left" w:pos="343"/>
        </w:tabs>
        <w:spacing w:before="150" w:after="20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При використанні деяких сервісів Оператора, зокрема: сервісу відкритих торгів (аукціонів) з продажу майна (активів) банків, що ліквідуються, персональні дані ко</w:t>
      </w:r>
      <w:r>
        <w:rPr>
          <w:rFonts w:ascii="Times New Roman" w:eastAsia="Times New Roman" w:hAnsi="Times New Roman" w:cs="Times New Roman"/>
          <w:sz w:val="24"/>
          <w:szCs w:val="24"/>
        </w:rPr>
        <w:t>ристувачів можуть передаватись уповноваженим Фондом гарантування вкладів фізичних осіб особам на ліквідацію банку (Замовнику), самому Фонду, в складі інформації про потенційних покупців, осіб, що подали заявку на участь у відкритих торгах (аукціонах), учас</w:t>
      </w:r>
      <w:r>
        <w:rPr>
          <w:rFonts w:ascii="Times New Roman" w:eastAsia="Times New Roman" w:hAnsi="Times New Roman" w:cs="Times New Roman"/>
          <w:sz w:val="24"/>
          <w:szCs w:val="24"/>
        </w:rPr>
        <w:t>ників та переможців відкритих торгів (аукціонів) банкам, на підставах та у спосіб, визначених законодавством України.</w:t>
      </w:r>
    </w:p>
    <w:p w14:paraId="5A8424EA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hd w:val="clear" w:color="auto" w:fill="FDFEFD"/>
        <w:tabs>
          <w:tab w:val="left" w:pos="343"/>
        </w:tabs>
        <w:spacing w:before="150" w:after="20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 Персональні дані Користувача (в розрізі інформаційних та/або змістових полів профілю: ім‘я, по-батькові, прізвище, дата народження, с</w:t>
      </w:r>
      <w:r>
        <w:rPr>
          <w:rFonts w:ascii="Times New Roman" w:eastAsia="Times New Roman" w:hAnsi="Times New Roman" w:cs="Times New Roman"/>
          <w:sz w:val="24"/>
          <w:szCs w:val="24"/>
        </w:rPr>
        <w:t>ерія, номер, дата та місце видачі паспорту, реєстраційний номер облікової картки платника податків, місце реєстрації, контактні дані, податковий статус), що використовуються при реєстрації, авторизації, редагуванні профілю та/або особистого кабінету корист</w:t>
      </w:r>
      <w:r>
        <w:rPr>
          <w:rFonts w:ascii="Times New Roman" w:eastAsia="Times New Roman" w:hAnsi="Times New Roman" w:cs="Times New Roman"/>
          <w:sz w:val="24"/>
          <w:szCs w:val="24"/>
        </w:rPr>
        <w:t>увача на Електронному майданчику, оброблюються та зберігаються на устаткуванні (сервері) Оператора.</w:t>
      </w:r>
    </w:p>
    <w:p w14:paraId="1A891388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hd w:val="clear" w:color="auto" w:fill="FDFEFD"/>
        <w:tabs>
          <w:tab w:val="left" w:pos="343"/>
        </w:tabs>
        <w:spacing w:before="150" w:after="20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Користувачі надають згоду на те, що такі персональні дані можуть передаватись Оператором третім особам – виключно особам, які знаходяться з Оператором у дог</w:t>
      </w:r>
      <w:r>
        <w:rPr>
          <w:rFonts w:ascii="Times New Roman" w:eastAsia="Times New Roman" w:hAnsi="Times New Roman" w:cs="Times New Roman"/>
          <w:sz w:val="24"/>
          <w:szCs w:val="24"/>
        </w:rPr>
        <w:t>овірних партнерських відносинах, спрямованих на розвиток функціональних можливостей Електронного майданчику, ЕТС, поширення сфери та кола застосування Електронного майданчику та ЕТС, розширення кола можливих контрагентів користувачів, спрощення технологічн</w:t>
      </w:r>
      <w:r>
        <w:rPr>
          <w:rFonts w:ascii="Times New Roman" w:eastAsia="Times New Roman" w:hAnsi="Times New Roman" w:cs="Times New Roman"/>
          <w:sz w:val="24"/>
          <w:szCs w:val="24"/>
        </w:rPr>
        <w:t>их процесів та/або підвищення захисту користувачів та їх персональних даних.</w:t>
      </w:r>
    </w:p>
    <w:p w14:paraId="17BEF8D0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таких даних вказаним особам здійснюється з виключенням можливості витоку даних або потрапляння їх до інших (не зазначених у цьому пункті) третіх осіб, з прийняттям зобов’</w:t>
      </w:r>
      <w:r>
        <w:rPr>
          <w:rFonts w:ascii="Times New Roman" w:eastAsia="Times New Roman" w:hAnsi="Times New Roman" w:cs="Times New Roman"/>
          <w:sz w:val="24"/>
          <w:szCs w:val="24"/>
        </w:rPr>
        <w:t>язань із захисту персональних даних користувачів</w:t>
      </w:r>
    </w:p>
    <w:p w14:paraId="145C0414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Порядок вирішення спорів</w:t>
      </w:r>
    </w:p>
    <w:p w14:paraId="291535CE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Всі спори та розбіжності, пов`язані з даним Договором, Сторони вирішують шляхом переговорів.</w:t>
      </w:r>
    </w:p>
    <w:p w14:paraId="2DBDDEB4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Якщо відповідний спір не можливо вирішити шляхом переговорів, він вирішуєтьс</w:t>
      </w:r>
      <w:r>
        <w:rPr>
          <w:rFonts w:ascii="Times New Roman" w:eastAsia="Times New Roman" w:hAnsi="Times New Roman" w:cs="Times New Roman"/>
          <w:sz w:val="24"/>
          <w:szCs w:val="24"/>
        </w:rPr>
        <w:t>я в судовому порядку за встановленою підвідомчістю та підсудністю такого спору згідно чинного законодавства України.</w:t>
      </w:r>
    </w:p>
    <w:p w14:paraId="68156213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 Форс-мажор</w:t>
      </w:r>
    </w:p>
    <w:p w14:paraId="17606612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 Сторони звільняються від відповідальності за часткове, повне невиконання або неналежне виконання зобов`язань за цим Дого</w:t>
      </w:r>
      <w:r>
        <w:rPr>
          <w:rFonts w:ascii="Times New Roman" w:eastAsia="Times New Roman" w:hAnsi="Times New Roman" w:cs="Times New Roman"/>
          <w:sz w:val="24"/>
          <w:szCs w:val="24"/>
        </w:rPr>
        <w:t>вором у разі, якщо невиконання або неналежне виконання зобов`язань є наслідком дії непереборної сили, тобто надзвичайних і невідворотних обставин, які Сторони не могли ні передбачити, ні запобігти їх настанню (обставини форс-мажору), а саме: пожежі, повені</w:t>
      </w:r>
      <w:r>
        <w:rPr>
          <w:rFonts w:ascii="Times New Roman" w:eastAsia="Times New Roman" w:hAnsi="Times New Roman" w:cs="Times New Roman"/>
          <w:sz w:val="24"/>
          <w:szCs w:val="24"/>
        </w:rPr>
        <w:t>, землетрусу, страйку, масових безпорядків, заколоту, війни, або дій органів державної влади та інших обставин, що роблять неможливим виконання Сторонами взятих на себе зобов`язань, і якщо такі обставини безпосередньо вплинули на виконання Сторонами взятих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себе зобов`язань за Договором.</w:t>
      </w:r>
    </w:p>
    <w:p w14:paraId="68387AFB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 У разі настання обставин форс-мажору підчас дії даного Договору, виконання зобов`язань за даним Договором відкладається на термін дії обставин форс-мажору.</w:t>
      </w:r>
    </w:p>
    <w:p w14:paraId="59D2E319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Сторона, що не може виконати зобов`язання за Договором,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повинна негайно, але не пізніше ніж через 3 (три) календарні дні після настання обставин форс-мажору, письмово повідомити про це іншу Сторону. Те ж саме стосується моменту закінчення дії обставини форс-мажору. Несвоєчасне повідомлення про настання обстави</w:t>
      </w:r>
      <w:r>
        <w:rPr>
          <w:rFonts w:ascii="Times New Roman" w:eastAsia="Times New Roman" w:hAnsi="Times New Roman" w:cs="Times New Roman"/>
          <w:sz w:val="24"/>
          <w:szCs w:val="24"/>
        </w:rPr>
        <w:t>ни форс-мажору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виконання, цілком або частково, взятих на себе зобов`язань за цим Договором. Нас</w:t>
      </w:r>
      <w:r>
        <w:rPr>
          <w:rFonts w:ascii="Times New Roman" w:eastAsia="Times New Roman" w:hAnsi="Times New Roman" w:cs="Times New Roman"/>
          <w:sz w:val="24"/>
          <w:szCs w:val="24"/>
        </w:rPr>
        <w:t>тання обставин форс-мажору, повинно бути підтверджено довідкою відповідного компетентного органу.</w:t>
      </w:r>
    </w:p>
    <w:p w14:paraId="0A5F0FDA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after="20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Прикінцеві положення</w:t>
      </w:r>
    </w:p>
    <w:p w14:paraId="7BEFC288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 З моменту укладання цього Договору всі попередні домовленості та укладені правочини між Сторонами, що стосуються виконання цього Договору, втрачають чинність.</w:t>
      </w:r>
    </w:p>
    <w:p w14:paraId="3806DF48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09B01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 Цей Договір укладено в двох автентичних примірниках українською мовою, що мають одна</w:t>
      </w:r>
      <w:r>
        <w:rPr>
          <w:rFonts w:ascii="Times New Roman" w:eastAsia="Times New Roman" w:hAnsi="Times New Roman" w:cs="Times New Roman"/>
          <w:sz w:val="24"/>
          <w:szCs w:val="24"/>
        </w:rPr>
        <w:t>кову юридичну силу, по одному примірнику для кожної зі Сторін.</w:t>
      </w:r>
    </w:p>
    <w:p w14:paraId="64376B00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0BFBC" w14:textId="77777777" w:rsidR="008B03C2" w:rsidRDefault="003A2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 Реквізити та підписи Сторін</w:t>
      </w:r>
    </w:p>
    <w:p w14:paraId="469855E1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5"/>
        <w:gridCol w:w="4886"/>
      </w:tblGrid>
      <w:tr w:rsidR="008B03C2" w14:paraId="45871D2C" w14:textId="77777777">
        <w:tc>
          <w:tcPr>
            <w:tcW w:w="496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23769F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488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8AA274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КОРИСТУВАЧ</w:t>
            </w:r>
          </w:p>
        </w:tc>
      </w:tr>
      <w:tr w:rsidR="008B03C2" w14:paraId="19E274AC" w14:textId="77777777">
        <w:tc>
          <w:tcPr>
            <w:tcW w:w="496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770370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Товарна біржа «Товарно-сировинна біржа «Галконтракт»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Адреса: 79000,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вул.Газова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36/2, </w:t>
            </w:r>
          </w:p>
          <w:p w14:paraId="4FCBD373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ЄДРПОУ: 35359891</w:t>
            </w:r>
          </w:p>
          <w:p w14:paraId="597BD50B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IBAN: UA873257960000026003300645452 у Філія ЛОУ ПАТ «Ощадбанк», МФО 325796</w:t>
            </w:r>
          </w:p>
          <w:p w14:paraId="7EA8E0E8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Ел. пошта: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info@tsbgalcontract.org.ua</w:t>
              </w:r>
            </w:hyperlink>
          </w:p>
          <w:p w14:paraId="2FC92349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+38 (067) 320 85 17</w:t>
            </w:r>
          </w:p>
          <w:p w14:paraId="525B7CDD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ІПН 353598913042</w:t>
            </w:r>
          </w:p>
          <w:p w14:paraId="1AD1FFDB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Платник податку на прибуток на загальних умовах</w:t>
            </w:r>
          </w:p>
          <w:p w14:paraId="055138AC" w14:textId="77777777" w:rsidR="008B03C2" w:rsidRDefault="008B0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F7D63C" w14:textId="77777777" w:rsidR="008B03C2" w:rsidRDefault="008B0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B03C2" w14:paraId="46CC70E4" w14:textId="77777777">
        <w:tc>
          <w:tcPr>
            <w:tcW w:w="496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CC60F7" w14:textId="68B77504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директор</w:t>
            </w:r>
          </w:p>
          <w:p w14:paraId="2AB0A691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 Мамаєва С.П.</w:t>
            </w:r>
          </w:p>
        </w:tc>
        <w:tc>
          <w:tcPr>
            <w:tcW w:w="488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F2E36A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8CD133" w14:textId="77777777" w:rsidR="008B03C2" w:rsidRDefault="003A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_____________</w:t>
            </w:r>
          </w:p>
          <w:p w14:paraId="4F428A9C" w14:textId="77777777" w:rsidR="008B03C2" w:rsidRDefault="008B0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13BC16" w14:textId="77777777" w:rsidR="008B03C2" w:rsidRDefault="008B0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B03C2" w:rsidSect="00E56A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707" w:bottom="360" w:left="1260" w:header="360" w:footer="17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5F29" w14:textId="77777777" w:rsidR="003A2BCA" w:rsidRDefault="003A2BCA">
      <w:pPr>
        <w:spacing w:line="240" w:lineRule="auto"/>
        <w:ind w:left="0" w:hanging="2"/>
      </w:pPr>
      <w:r>
        <w:separator/>
      </w:r>
    </w:p>
  </w:endnote>
  <w:endnote w:type="continuationSeparator" w:id="0">
    <w:p w14:paraId="478142D1" w14:textId="77777777" w:rsidR="003A2BCA" w:rsidRDefault="003A2B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1A0B" w14:textId="77777777" w:rsidR="00C671ED" w:rsidRDefault="00C671ED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5135" w14:textId="77777777" w:rsidR="00C671ED" w:rsidRDefault="00C671ED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0FFE" w14:textId="77777777" w:rsidR="00C671ED" w:rsidRDefault="00C671ED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A016" w14:textId="77777777" w:rsidR="003A2BCA" w:rsidRDefault="003A2BCA">
      <w:pPr>
        <w:spacing w:line="240" w:lineRule="auto"/>
        <w:ind w:left="0" w:hanging="2"/>
      </w:pPr>
      <w:r>
        <w:separator/>
      </w:r>
    </w:p>
  </w:footnote>
  <w:footnote w:type="continuationSeparator" w:id="0">
    <w:p w14:paraId="0204A15E" w14:textId="77777777" w:rsidR="003A2BCA" w:rsidRDefault="003A2B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273D" w14:textId="77777777" w:rsidR="008B03C2" w:rsidRDefault="003A2B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200"/>
      <w:ind w:left="0" w:hanging="2"/>
      <w:jc w:val="center"/>
      <w:rPr>
        <w:rFonts w:ascii="Calibri" w:hAnsi="Calibri" w:cs="Calibri"/>
      </w:rPr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PAGE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</w:rPr>
      <w:fldChar w:fldCharType="end"/>
    </w:r>
  </w:p>
  <w:p w14:paraId="509A2195" w14:textId="77777777" w:rsidR="008B03C2" w:rsidRDefault="008B03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200"/>
      <w:ind w:left="0" w:hanging="2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CAB2" w14:textId="77777777" w:rsidR="008B03C2" w:rsidRDefault="003A2B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200"/>
      <w:ind w:left="0" w:hanging="2"/>
      <w:jc w:val="center"/>
      <w:rPr>
        <w:rFonts w:ascii="Calibri" w:hAnsi="Calibri" w:cs="Calibri"/>
      </w:rPr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PAGE</w:instrText>
    </w:r>
    <w:r>
      <w:rPr>
        <w:rFonts w:ascii="Calibri" w:hAnsi="Calibri" w:cs="Calibri"/>
      </w:rPr>
      <w:fldChar w:fldCharType="separate"/>
    </w:r>
    <w:r w:rsidR="00481871">
      <w:rPr>
        <w:rFonts w:ascii="Calibri" w:hAnsi="Calibri" w:cs="Calibri"/>
        <w:noProof/>
      </w:rPr>
      <w:t>2</w:t>
    </w:r>
    <w:r>
      <w:rPr>
        <w:rFonts w:ascii="Calibri" w:hAnsi="Calibri" w:cs="Calibri"/>
      </w:rPr>
      <w:fldChar w:fldCharType="end"/>
    </w:r>
  </w:p>
  <w:p w14:paraId="5DB50486" w14:textId="77777777" w:rsidR="008B03C2" w:rsidRDefault="008B03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200"/>
      <w:ind w:left="0" w:hanging="2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2F32" w14:textId="77777777" w:rsidR="00C671ED" w:rsidRDefault="00C671ED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9AF"/>
    <w:multiLevelType w:val="multilevel"/>
    <w:tmpl w:val="B41E59E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vertAlign w:val="baseline"/>
      </w:rPr>
    </w:lvl>
  </w:abstractNum>
  <w:abstractNum w:abstractNumId="1" w15:restartNumberingAfterBreak="0">
    <w:nsid w:val="1DD0740D"/>
    <w:multiLevelType w:val="multilevel"/>
    <w:tmpl w:val="B540E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262465AB"/>
    <w:multiLevelType w:val="multilevel"/>
    <w:tmpl w:val="1DFA6B84"/>
    <w:lvl w:ilvl="0">
      <w:start w:val="1"/>
      <w:numFmt w:val="decimal"/>
      <w:lvlText w:val="%1."/>
      <w:lvlJc w:val="left"/>
      <w:pPr>
        <w:ind w:left="342" w:hanging="239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855" w:hanging="571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start w:val="1"/>
      <w:numFmt w:val="bullet"/>
      <w:lvlText w:val="−"/>
      <w:lvlJc w:val="left"/>
      <w:pPr>
        <w:ind w:left="822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−"/>
      <w:lvlJc w:val="left"/>
      <w:pPr>
        <w:ind w:left="882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•"/>
      <w:lvlJc w:val="left"/>
      <w:pPr>
        <w:ind w:left="882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2329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3776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5224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6671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2"/>
    <w:rsid w:val="003A2BCA"/>
    <w:rsid w:val="00481871"/>
    <w:rsid w:val="008B03C2"/>
    <w:rsid w:val="00C671ED"/>
    <w:rsid w:val="00E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CAB06"/>
  <w15:docId w15:val="{05C20913-1B93-43F4-BF1F-91C0D3C8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2"/>
      <w:szCs w:val="22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hAnsi="Times New Roman"/>
      <w:b/>
      <w:w w:val="100"/>
      <w:kern w:val="36"/>
      <w:position w:val="-1"/>
      <w:sz w:val="48"/>
      <w:effect w:val="none"/>
      <w:vertAlign w:val="baseline"/>
      <w:cs w:val="0"/>
      <w:em w:val="none"/>
      <w:lang w:eastAsia="ru-RU"/>
    </w:rPr>
  </w:style>
  <w:style w:type="character" w:customStyle="1" w:styleId="20">
    <w:name w:val="Заголовок 2 Знак"/>
    <w:rPr>
      <w:rFonts w:ascii="Times New Roman" w:hAnsi="Times New Roman"/>
      <w:b/>
      <w:w w:val="100"/>
      <w:position w:val="-1"/>
      <w:sz w:val="36"/>
      <w:effect w:val="none"/>
      <w:vertAlign w:val="baseline"/>
      <w:cs w:val="0"/>
      <w:em w:val="none"/>
      <w:lang w:eastAsia="ru-RU"/>
    </w:rPr>
  </w:style>
  <w:style w:type="paragraph" w:customStyle="1" w:styleId="zk-contentpar">
    <w:name w:val="zk-content__par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63296073">
    <w:name w:val="xfm_63296073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ody Text"/>
    <w:basedOn w:val="a"/>
    <w:pPr>
      <w:widowControl w:val="0"/>
      <w:spacing w:line="240" w:lineRule="auto"/>
      <w:ind w:left="102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1">
    <w:name w:val="Абзац списка1"/>
    <w:basedOn w:val="a"/>
    <w:pPr>
      <w:widowControl w:val="0"/>
      <w:spacing w:line="240" w:lineRule="auto"/>
    </w:pPr>
    <w:rPr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List Paragraph"/>
    <w:basedOn w:val="a"/>
    <w:pPr>
      <w:spacing w:after="200"/>
      <w:ind w:left="708"/>
    </w:pPr>
    <w:rPr>
      <w:lang w:val="ru-RU" w:eastAsia="en-US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266" w:lineRule="atLeast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rPr>
      <w:rFonts w:ascii="Times New Roman" w:hAnsi="Times New Roman"/>
      <w:b/>
      <w:i/>
      <w:w w:val="100"/>
      <w:position w:val="-1"/>
      <w:sz w:val="22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819"/>
        <w:tab w:val="right" w:pos="9639"/>
      </w:tabs>
      <w:spacing w:after="200"/>
    </w:pPr>
    <w:rPr>
      <w:lang w:val="ru-RU" w:eastAsia="en-US"/>
    </w:rPr>
  </w:style>
  <w:style w:type="character" w:styleId="a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header"/>
    <w:basedOn w:val="a"/>
    <w:pPr>
      <w:tabs>
        <w:tab w:val="center" w:pos="4819"/>
        <w:tab w:val="right" w:pos="9639"/>
      </w:tabs>
      <w:spacing w:after="200"/>
    </w:pPr>
    <w:rPr>
      <w:lang w:val="ru-RU" w:eastAsia="en-US"/>
    </w:rPr>
  </w:style>
  <w:style w:type="paragraph" w:customStyle="1" w:styleId="12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</w:rPr>
  </w:style>
  <w:style w:type="paragraph" w:customStyle="1" w:styleId="ac">
    <w:name w:val="Назва документа"/>
    <w:basedOn w:val="a"/>
    <w:next w:val="a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info@tsbgalcontract.org.u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qaC31hv8HfZPBn3m0Gu31z78PQ==">AMUW2mVciHcxY1shuxwT1yZuR2dBgHcNlNObE8LBXzDKKYyp2c1iyNe+L8RCi6SWvQD0DS+NXCYfg30HkMCftU58xWlEXwkM6AyFxkbyINtaA0VBtqJini5JBDH+FQnSZSGQn1p48KkZSBnVRc63bZ5+mznVewfYG4uMpoHP4yASsitzwu41q4s=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19707</Words>
  <Characters>11234</Characters>
  <Application>Microsoft Office Word</Application>
  <DocSecurity>0</DocSecurity>
  <Lines>93</Lines>
  <Paragraphs>61</Paragraphs>
  <ScaleCrop>false</ScaleCrop>
  <Company/>
  <LinksUpToDate>false</LinksUpToDate>
  <CharactersWithSpaces>30880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Л</cp:lastModifiedBy>
  <cp:revision>4</cp:revision>
  <dcterms:created xsi:type="dcterms:W3CDTF">2021-10-11T15:22:00Z</dcterms:created>
  <dcterms:modified xsi:type="dcterms:W3CDTF">2021-10-11T18:40:00Z</dcterms:modified>
</cp:coreProperties>
</file>